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D02" w:rsidRPr="00BC2D02" w:rsidRDefault="00BC2D02" w:rsidP="00BC2D02">
      <w:pPr>
        <w:keepNext/>
        <w:spacing w:after="0" w:line="240" w:lineRule="auto"/>
        <w:jc w:val="both"/>
        <w:outlineLvl w:val="0"/>
        <w:rPr>
          <w:rFonts w:ascii="AvantGarde Bk BT" w:eastAsia="Times New Roman" w:hAnsi="AvantGarde Bk BT" w:cs="Arial"/>
          <w:lang w:val="pt-BR" w:eastAsia="es-ES"/>
        </w:rPr>
      </w:pPr>
      <w:bookmarkStart w:id="0" w:name="_GoBack"/>
      <w:bookmarkEnd w:id="0"/>
      <w:r w:rsidRPr="00BC2D02">
        <w:rPr>
          <w:rFonts w:ascii="AvantGarde Bk BT" w:eastAsia="Times New Roman" w:hAnsi="AvantGarde Bk BT" w:cs="Arial"/>
          <w:lang w:val="pt-BR" w:eastAsia="es-ES"/>
        </w:rPr>
        <w:t xml:space="preserve">H. CONSEJO GENERAL </w:t>
      </w:r>
      <w:proofErr w:type="gramStart"/>
      <w:r w:rsidRPr="00BC2D02">
        <w:rPr>
          <w:rFonts w:ascii="AvantGarde Bk BT" w:eastAsia="Times New Roman" w:hAnsi="AvantGarde Bk BT" w:cs="Arial"/>
          <w:lang w:val="pt-BR" w:eastAsia="es-ES"/>
        </w:rPr>
        <w:t>UNIVERSITARIO</w:t>
      </w:r>
      <w:proofErr w:type="gramEnd"/>
    </w:p>
    <w:p w:rsidR="00BC2D02" w:rsidRPr="00BC2D02" w:rsidRDefault="00BC2D02" w:rsidP="00BC2D02">
      <w:pPr>
        <w:spacing w:after="0" w:line="240" w:lineRule="auto"/>
        <w:rPr>
          <w:rFonts w:ascii="AvantGarde Bk BT" w:eastAsia="Times New Roman" w:hAnsi="AvantGarde Bk BT" w:cs="Arial"/>
          <w:lang w:val="pt-BR" w:eastAsia="es-ES"/>
        </w:rPr>
      </w:pPr>
      <w:r w:rsidRPr="00BC2D02">
        <w:rPr>
          <w:rFonts w:ascii="AvantGarde Bk BT" w:eastAsia="Times New Roman" w:hAnsi="AvantGarde Bk BT" w:cs="Arial"/>
          <w:lang w:val="pt-BR" w:eastAsia="es-ES"/>
        </w:rPr>
        <w:t>P R E S E N T E</w:t>
      </w:r>
    </w:p>
    <w:p w:rsidR="00BC2D02" w:rsidRDefault="00BC2D02" w:rsidP="00BC2D02">
      <w:pPr>
        <w:spacing w:after="0" w:line="240" w:lineRule="auto"/>
        <w:rPr>
          <w:rFonts w:ascii="AvantGarde Bk BT" w:eastAsia="Times New Roman" w:hAnsi="AvantGarde Bk BT" w:cs="Arial"/>
          <w:lang w:val="pt-BR" w:eastAsia="es-ES"/>
        </w:rPr>
      </w:pPr>
    </w:p>
    <w:p w:rsidR="008B4629" w:rsidRPr="00BC2D02" w:rsidRDefault="008B4629" w:rsidP="00BC2D02">
      <w:pPr>
        <w:spacing w:after="0" w:line="240" w:lineRule="auto"/>
        <w:rPr>
          <w:rFonts w:ascii="AvantGarde Bk BT" w:eastAsia="Times New Roman" w:hAnsi="AvantGarde Bk BT" w:cs="Arial"/>
          <w:lang w:val="pt-BR" w:eastAsia="es-ES"/>
        </w:rPr>
      </w:pPr>
    </w:p>
    <w:p w:rsidR="00BC2D02" w:rsidRPr="00BC2D02" w:rsidRDefault="00BC2D02" w:rsidP="008B4629">
      <w:pPr>
        <w:spacing w:after="0" w:line="240" w:lineRule="auto"/>
        <w:jc w:val="both"/>
        <w:rPr>
          <w:rFonts w:ascii="AvantGarde Bk BT" w:eastAsia="Times New Roman" w:hAnsi="AvantGarde Bk BT" w:cs="Arial"/>
          <w:lang w:eastAsia="es-ES"/>
        </w:rPr>
      </w:pPr>
      <w:r w:rsidRPr="00BC2D02">
        <w:rPr>
          <w:rFonts w:ascii="AvantGarde Bk BT" w:eastAsia="Times New Roman" w:hAnsi="AvantGarde Bk BT" w:cs="Arial"/>
          <w:lang w:eastAsia="es-ES"/>
        </w:rPr>
        <w:t xml:space="preserve">A estas Comisiones Permanentes Conjuntas de Educación y Hacienda ha sido turnado, por el Rector del Centro Universitario de Ciencias de la Salud, el dictamen 1015/2014, de fecha 1 de diciembre de 2014, en el que se propone la creación del </w:t>
      </w:r>
      <w:r w:rsidRPr="00BC2D02">
        <w:rPr>
          <w:rFonts w:ascii="AvantGarde Bk BT" w:eastAsia="Times New Roman" w:hAnsi="AvantGarde Bk BT" w:cs="Arial"/>
          <w:b/>
          <w:lang w:eastAsia="es-ES"/>
        </w:rPr>
        <w:t xml:space="preserve">Instituto de Neurociencias </w:t>
      </w:r>
      <w:proofErr w:type="spellStart"/>
      <w:r w:rsidRPr="00BC2D02">
        <w:rPr>
          <w:rFonts w:ascii="AvantGarde Bk BT" w:eastAsia="Times New Roman" w:hAnsi="AvantGarde Bk BT" w:cs="Arial"/>
          <w:b/>
          <w:lang w:eastAsia="es-ES"/>
        </w:rPr>
        <w:t>Traslacionales</w:t>
      </w:r>
      <w:proofErr w:type="spellEnd"/>
      <w:r w:rsidRPr="00BC2D02">
        <w:rPr>
          <w:rFonts w:ascii="AvantGarde Bk BT" w:eastAsia="Times New Roman" w:hAnsi="AvantGarde Bk BT" w:cs="Arial"/>
          <w:b/>
          <w:lang w:eastAsia="es-ES"/>
        </w:rPr>
        <w:t xml:space="preserve"> </w:t>
      </w:r>
      <w:r w:rsidRPr="00BC2D02">
        <w:rPr>
          <w:rFonts w:ascii="AvantGarde Bk BT" w:eastAsia="Times New Roman" w:hAnsi="AvantGarde Bk BT" w:cs="Arial"/>
          <w:lang w:eastAsia="es-ES"/>
        </w:rPr>
        <w:t>y</w:t>
      </w:r>
    </w:p>
    <w:p w:rsidR="00BC2D02" w:rsidRPr="00BC2D02" w:rsidRDefault="00BC2D02" w:rsidP="00BC2D02">
      <w:pPr>
        <w:keepNext/>
        <w:keepLines/>
        <w:spacing w:before="200" w:after="0" w:line="240" w:lineRule="auto"/>
        <w:jc w:val="center"/>
        <w:outlineLvl w:val="1"/>
        <w:rPr>
          <w:rFonts w:ascii="AvantGarde Bk BT" w:eastAsia="Times New Roman" w:hAnsi="AvantGarde Bk BT" w:cs="Arial"/>
          <w:lang w:val="pt-BR" w:eastAsia="es-ES"/>
        </w:rPr>
      </w:pPr>
      <w:r w:rsidRPr="00BC2D02">
        <w:rPr>
          <w:rFonts w:ascii="AvantGarde Bk BT" w:eastAsia="Times New Roman" w:hAnsi="AvantGarde Bk BT" w:cs="Arial"/>
          <w:lang w:val="pt-BR" w:eastAsia="es-ES"/>
        </w:rPr>
        <w:t>R e s u l t a n d o:</w:t>
      </w:r>
    </w:p>
    <w:p w:rsidR="00BC2D02" w:rsidRPr="00BC2D02" w:rsidRDefault="00BC2D02" w:rsidP="00BC2D02">
      <w:pPr>
        <w:spacing w:after="0" w:line="240" w:lineRule="auto"/>
        <w:rPr>
          <w:rFonts w:ascii="AvantGarde Bk BT" w:eastAsia="Times New Roman" w:hAnsi="AvantGarde Bk BT" w:cs="Arial"/>
          <w:lang w:val="pt-BR" w:eastAsia="es-ES"/>
        </w:rPr>
      </w:pPr>
    </w:p>
    <w:p w:rsidR="00BC2D02" w:rsidRPr="00BC2D02" w:rsidRDefault="00BC2D02" w:rsidP="00BC2D02">
      <w:pPr>
        <w:numPr>
          <w:ilvl w:val="0"/>
          <w:numId w:val="8"/>
        </w:numPr>
        <w:spacing w:after="0" w:line="240" w:lineRule="auto"/>
        <w:jc w:val="both"/>
        <w:rPr>
          <w:rFonts w:ascii="AvantGarde Bk BT" w:eastAsia="Times New Roman" w:hAnsi="AvantGarde Bk BT" w:cs="Arial"/>
          <w:lang w:eastAsia="es-ES"/>
        </w:rPr>
      </w:pPr>
      <w:r w:rsidRPr="00BC2D02">
        <w:rPr>
          <w:rFonts w:ascii="AvantGarde Bk BT" w:eastAsia="Times New Roman" w:hAnsi="AvantGarde Bk BT" w:cs="Arial"/>
          <w:lang w:eastAsia="es-ES"/>
        </w:rPr>
        <w:t>Que en el campo de la salud se han generado cambios trascendentales que benefician a la humanidad. El avance de la ciencia y la tecnología ha facilitado el control de enfermedades, ha generado terapé</w:t>
      </w:r>
      <w:r w:rsidR="008B4629">
        <w:rPr>
          <w:rFonts w:ascii="AvantGarde Bk BT" w:eastAsia="Times New Roman" w:hAnsi="AvantGarde Bk BT" w:cs="Arial"/>
          <w:lang w:eastAsia="es-ES"/>
        </w:rPr>
        <w:t xml:space="preserve">uticas innovadoras y exitosas, </w:t>
      </w:r>
      <w:r w:rsidRPr="00BC2D02">
        <w:rPr>
          <w:rFonts w:ascii="AvantGarde Bk BT" w:eastAsia="Times New Roman" w:hAnsi="AvantGarde Bk BT" w:cs="Arial"/>
          <w:lang w:eastAsia="es-ES"/>
        </w:rPr>
        <w:t>ha privilegiado la salud preventiva y ha dado atención a circunstancias sanitarias denominadas emergentes, entre otros grandes avances científicos que permiten hoy mayor  esperanza de vida en hombres y mujeres.</w:t>
      </w:r>
    </w:p>
    <w:p w:rsidR="00BC2D02" w:rsidRPr="00BC2D02" w:rsidRDefault="00BC2D02" w:rsidP="008B4629">
      <w:pPr>
        <w:spacing w:after="0" w:line="240" w:lineRule="auto"/>
        <w:rPr>
          <w:rFonts w:ascii="AvantGarde Bk BT" w:eastAsia="Times New Roman" w:hAnsi="AvantGarde Bk BT" w:cs="Arial"/>
          <w:lang w:eastAsia="es-ES"/>
        </w:rPr>
      </w:pPr>
    </w:p>
    <w:p w:rsidR="00BC2D02" w:rsidRPr="00BC2D02" w:rsidRDefault="00BC2D02" w:rsidP="00BC2D02">
      <w:pPr>
        <w:numPr>
          <w:ilvl w:val="0"/>
          <w:numId w:val="8"/>
        </w:numPr>
        <w:spacing w:after="0" w:line="240" w:lineRule="auto"/>
        <w:jc w:val="both"/>
        <w:rPr>
          <w:rFonts w:ascii="AvantGarde Bk BT" w:eastAsia="Times New Roman" w:hAnsi="AvantGarde Bk BT" w:cs="Arial"/>
          <w:lang w:eastAsia="es-ES"/>
        </w:rPr>
      </w:pPr>
      <w:r w:rsidRPr="00BC2D02">
        <w:rPr>
          <w:rFonts w:ascii="AvantGarde Bk BT" w:eastAsia="Times New Roman" w:hAnsi="AvantGarde Bk BT" w:cs="Arial"/>
          <w:lang w:eastAsia="es-ES"/>
        </w:rPr>
        <w:t xml:space="preserve">Que en la misma proporción están ocurriendo eventos inherentes al propio proceso evolutivo del ser humano, como efecto de las expectativas en  la vida media poblacional y los cambios en la estructura piramidal y de crecimiento de la población mexicana. De acuerdo a la Organización Mundial de la Salud (OMS), en el 2050 México será un país envejecido. La alarmante cifra creciente de mexicanos de la tercera edad se verá reflejada exponencialmente en alteraciones que afectan directamente al sistema nervioso. Las alteraciones del </w:t>
      </w:r>
      <w:proofErr w:type="spellStart"/>
      <w:r w:rsidRPr="00BC2D02">
        <w:rPr>
          <w:rFonts w:ascii="AvantGarde Bk BT" w:eastAsia="Times New Roman" w:hAnsi="AvantGarde Bk BT" w:cs="Arial"/>
          <w:lang w:eastAsia="es-ES"/>
        </w:rPr>
        <w:t>neurodesarrollo</w:t>
      </w:r>
      <w:proofErr w:type="spellEnd"/>
      <w:r w:rsidRPr="00BC2D02">
        <w:rPr>
          <w:rFonts w:ascii="AvantGarde Bk BT" w:eastAsia="Times New Roman" w:hAnsi="AvantGarde Bk BT" w:cs="Arial"/>
          <w:lang w:eastAsia="es-ES"/>
        </w:rPr>
        <w:t>, además del impacto social de la violencia y las drogas adictivas, la manipulación y modificación a partir de contaminantes, las nuevas tecnologías y los cambios alimenticios que afectan al cerebro generan, por su costo social, nuevas necesidades de atención.</w:t>
      </w:r>
    </w:p>
    <w:p w:rsidR="00BC2D02" w:rsidRPr="00BC2D02" w:rsidRDefault="00BC2D02" w:rsidP="008B4629">
      <w:pPr>
        <w:spacing w:after="0" w:line="240" w:lineRule="auto"/>
        <w:rPr>
          <w:rFonts w:ascii="AvantGarde Bk BT" w:eastAsia="Times New Roman" w:hAnsi="AvantGarde Bk BT" w:cs="Arial"/>
          <w:lang w:eastAsia="es-ES"/>
        </w:rPr>
      </w:pPr>
    </w:p>
    <w:p w:rsidR="00BC2D02" w:rsidRPr="008B4629" w:rsidRDefault="00BC2D02" w:rsidP="00BC2D02">
      <w:pPr>
        <w:numPr>
          <w:ilvl w:val="0"/>
          <w:numId w:val="8"/>
        </w:numPr>
        <w:spacing w:after="0" w:line="240" w:lineRule="auto"/>
        <w:jc w:val="both"/>
        <w:rPr>
          <w:rFonts w:ascii="AvantGarde Bk BT" w:eastAsia="Times New Roman" w:hAnsi="AvantGarde Bk BT" w:cs="Arial"/>
          <w:lang w:eastAsia="es-ES"/>
        </w:rPr>
      </w:pPr>
      <w:r w:rsidRPr="00BC2D02">
        <w:rPr>
          <w:rFonts w:ascii="AvantGarde Bk BT" w:eastAsia="Times New Roman" w:hAnsi="AvantGarde Bk BT" w:cs="Arial"/>
          <w:lang w:eastAsia="es-ES"/>
        </w:rPr>
        <w:t>Que la demencia, el Parkinson y la enfermedad vascular cerebral son las tres patologías con mayor incidencia en los adultos mayores de nuestro país. Aunado a ello, las exigencias cotidianas propias de la población económicamente activa tienen repercusiones importantes en la salud mental. El estrés, producto de la competitividad y contradicción social genera repercusiones en las habilidades cognitivas. Cada vez es  una variable  más constante el  Burnout,  la depresión, el déficit cognitivo del adulto o  déficit de atención, las  conductas asociadas a adicciones y las repercusiones en el comportamiento social y la productividad.</w:t>
      </w:r>
    </w:p>
    <w:p w:rsidR="008B4629" w:rsidRDefault="008B4629">
      <w:pPr>
        <w:rPr>
          <w:rFonts w:ascii="AvantGarde Bk BT" w:eastAsia="Times New Roman" w:hAnsi="AvantGarde Bk BT" w:cs="Arial"/>
          <w:lang w:eastAsia="es-ES"/>
        </w:rPr>
      </w:pPr>
      <w:r>
        <w:rPr>
          <w:rFonts w:ascii="AvantGarde Bk BT" w:eastAsia="Times New Roman" w:hAnsi="AvantGarde Bk BT" w:cs="Arial"/>
          <w:lang w:eastAsia="es-ES"/>
        </w:rPr>
        <w:br w:type="page"/>
      </w:r>
    </w:p>
    <w:p w:rsidR="00BC2D02" w:rsidRPr="00BC2D02" w:rsidRDefault="00BC2D02" w:rsidP="00BC2D02">
      <w:pPr>
        <w:numPr>
          <w:ilvl w:val="0"/>
          <w:numId w:val="8"/>
        </w:numPr>
        <w:spacing w:after="0" w:line="240" w:lineRule="auto"/>
        <w:jc w:val="both"/>
        <w:rPr>
          <w:rFonts w:ascii="AvantGarde Bk BT" w:eastAsia="Times New Roman" w:hAnsi="AvantGarde Bk BT" w:cs="Arial"/>
          <w:lang w:eastAsia="es-ES"/>
        </w:rPr>
      </w:pPr>
      <w:r w:rsidRPr="00BC2D02">
        <w:rPr>
          <w:rFonts w:ascii="AvantGarde Bk BT" w:eastAsia="Times New Roman" w:hAnsi="AvantGarde Bk BT" w:cs="Arial"/>
          <w:lang w:eastAsia="es-ES"/>
        </w:rPr>
        <w:lastRenderedPageBreak/>
        <w:t xml:space="preserve">Que en el otro extremo de la vida, la salud poblacional también está siendo cada vez más afectada. El 20% de la patología pediátrica actual tiene su origen en alteraciones estructurales o funcionales del sistema nervioso. La afectación del </w:t>
      </w:r>
      <w:proofErr w:type="spellStart"/>
      <w:r w:rsidRPr="00BC2D02">
        <w:rPr>
          <w:rFonts w:ascii="AvantGarde Bk BT" w:eastAsia="Times New Roman" w:hAnsi="AvantGarde Bk BT" w:cs="Arial"/>
          <w:lang w:eastAsia="es-ES"/>
        </w:rPr>
        <w:t>neurodesarrollo</w:t>
      </w:r>
      <w:proofErr w:type="spellEnd"/>
      <w:r w:rsidRPr="00BC2D02">
        <w:rPr>
          <w:rFonts w:ascii="AvantGarde Bk BT" w:eastAsia="Times New Roman" w:hAnsi="AvantGarde Bk BT" w:cs="Arial"/>
          <w:lang w:eastAsia="es-ES"/>
        </w:rPr>
        <w:t xml:space="preserve"> en etapa embrionaria da como consecuencia un gran espectro de trastornos que afectan el desarrollo intelectual, el aprendizaje, la comunicación, la función motora, así como trastornos del espectro autista y déficit de atención/hiperactividad.</w:t>
      </w:r>
    </w:p>
    <w:p w:rsidR="00BC2D02" w:rsidRPr="00BC2D02" w:rsidRDefault="00BC2D02" w:rsidP="008B4629">
      <w:pPr>
        <w:spacing w:after="0" w:line="240" w:lineRule="auto"/>
        <w:rPr>
          <w:rFonts w:ascii="AvantGarde Bk BT" w:eastAsia="Times New Roman" w:hAnsi="AvantGarde Bk BT" w:cs="Arial"/>
          <w:lang w:eastAsia="es-ES"/>
        </w:rPr>
      </w:pPr>
    </w:p>
    <w:p w:rsidR="00BC2D02" w:rsidRPr="00BC2D02" w:rsidRDefault="00BC2D02" w:rsidP="00BC2D02">
      <w:pPr>
        <w:numPr>
          <w:ilvl w:val="0"/>
          <w:numId w:val="8"/>
        </w:numPr>
        <w:spacing w:after="0" w:line="240" w:lineRule="auto"/>
        <w:jc w:val="both"/>
        <w:rPr>
          <w:rFonts w:ascii="AvantGarde Bk BT" w:eastAsia="Times New Roman" w:hAnsi="AvantGarde Bk BT" w:cs="Arial"/>
          <w:lang w:eastAsia="es-ES"/>
        </w:rPr>
      </w:pPr>
      <w:r w:rsidRPr="00BC2D02">
        <w:rPr>
          <w:rFonts w:ascii="AvantGarde Bk BT" w:eastAsia="Times New Roman" w:hAnsi="AvantGarde Bk BT" w:cs="Arial"/>
          <w:lang w:eastAsia="es-ES"/>
        </w:rPr>
        <w:t xml:space="preserve">Que ante esta realidad, se ha multiplicado y diversificado la actividad investigadora </w:t>
      </w:r>
      <w:proofErr w:type="spellStart"/>
      <w:r w:rsidRPr="00BC2D02">
        <w:rPr>
          <w:rFonts w:ascii="AvantGarde Bk BT" w:eastAsia="Times New Roman" w:hAnsi="AvantGarde Bk BT" w:cs="Arial"/>
          <w:lang w:eastAsia="es-ES"/>
        </w:rPr>
        <w:t>neurocientífica</w:t>
      </w:r>
      <w:proofErr w:type="spellEnd"/>
      <w:r w:rsidRPr="00BC2D02">
        <w:rPr>
          <w:rFonts w:ascii="AvantGarde Bk BT" w:eastAsia="Times New Roman" w:hAnsi="AvantGarde Bk BT" w:cs="Arial"/>
          <w:lang w:eastAsia="es-ES"/>
        </w:rPr>
        <w:t xml:space="preserve">, lo que a su vez ha favorecido un importante avance en el campo de las Neurociencias. </w:t>
      </w:r>
    </w:p>
    <w:p w:rsidR="00BC2D02" w:rsidRPr="00BC2D02" w:rsidRDefault="00BC2D02" w:rsidP="008B4629">
      <w:pPr>
        <w:spacing w:after="0" w:line="240" w:lineRule="auto"/>
        <w:rPr>
          <w:rFonts w:ascii="AvantGarde Bk BT" w:eastAsia="Times New Roman" w:hAnsi="AvantGarde Bk BT" w:cs="Arial"/>
          <w:lang w:eastAsia="es-ES"/>
        </w:rPr>
      </w:pPr>
    </w:p>
    <w:p w:rsidR="00BC2D02" w:rsidRPr="00BC2D02" w:rsidRDefault="00BC2D02" w:rsidP="00BC2D02">
      <w:pPr>
        <w:numPr>
          <w:ilvl w:val="0"/>
          <w:numId w:val="8"/>
        </w:numPr>
        <w:spacing w:after="0" w:line="240" w:lineRule="auto"/>
        <w:jc w:val="both"/>
        <w:rPr>
          <w:rFonts w:ascii="AvantGarde Bk BT" w:eastAsia="Times New Roman" w:hAnsi="AvantGarde Bk BT" w:cs="Arial"/>
          <w:lang w:eastAsia="es-ES"/>
        </w:rPr>
      </w:pPr>
      <w:r w:rsidRPr="00BC2D02">
        <w:rPr>
          <w:rFonts w:ascii="AvantGarde Bk BT" w:eastAsia="Times New Roman" w:hAnsi="AvantGarde Bk BT" w:cs="Arial"/>
          <w:lang w:eastAsia="es-ES"/>
        </w:rPr>
        <w:t xml:space="preserve">Que además de la complejidad que representa el cerebro humano para su estudio, la transferencia de los conocimientos </w:t>
      </w:r>
      <w:proofErr w:type="spellStart"/>
      <w:r w:rsidRPr="00BC2D02">
        <w:rPr>
          <w:rFonts w:ascii="AvantGarde Bk BT" w:eastAsia="Times New Roman" w:hAnsi="AvantGarde Bk BT" w:cs="Arial"/>
          <w:lang w:eastAsia="es-ES"/>
        </w:rPr>
        <w:t>neurocientíficos</w:t>
      </w:r>
      <w:proofErr w:type="spellEnd"/>
      <w:r w:rsidRPr="00BC2D02">
        <w:rPr>
          <w:rFonts w:ascii="AvantGarde Bk BT" w:eastAsia="Times New Roman" w:hAnsi="AvantGarde Bk BT" w:cs="Arial"/>
          <w:lang w:eastAsia="es-ES"/>
        </w:rPr>
        <w:t xml:space="preserve"> al sector </w:t>
      </w:r>
      <w:proofErr w:type="spellStart"/>
      <w:r w:rsidRPr="00BC2D02">
        <w:rPr>
          <w:rFonts w:ascii="AvantGarde Bk BT" w:eastAsia="Times New Roman" w:hAnsi="AvantGarde Bk BT" w:cs="Arial"/>
          <w:lang w:eastAsia="es-ES"/>
        </w:rPr>
        <w:t>biosanitario</w:t>
      </w:r>
      <w:proofErr w:type="spellEnd"/>
      <w:r w:rsidRPr="00BC2D02">
        <w:rPr>
          <w:rFonts w:ascii="AvantGarde Bk BT" w:eastAsia="Times New Roman" w:hAnsi="AvantGarde Bk BT" w:cs="Arial"/>
          <w:lang w:eastAsia="es-ES"/>
        </w:rPr>
        <w:t xml:space="preserve"> ha sido muy pobre y con limitados beneficios para el tratamiento, prevención y diagnóstico de las patologías del sistema nervioso. Como consecuencia de ello, se han conjuntado una serie de esfuerzos en el campo científico para el desarrollo  de conocimientos en Neurociencias Básicas y Clínicas.</w:t>
      </w:r>
    </w:p>
    <w:p w:rsidR="00BC2D02" w:rsidRPr="00BC2D02" w:rsidRDefault="00BC2D02" w:rsidP="008B4629">
      <w:pPr>
        <w:spacing w:after="0" w:line="240" w:lineRule="auto"/>
        <w:rPr>
          <w:rFonts w:ascii="AvantGarde Bk BT" w:eastAsia="Times New Roman" w:hAnsi="AvantGarde Bk BT" w:cs="Arial"/>
          <w:lang w:eastAsia="es-ES"/>
        </w:rPr>
      </w:pPr>
    </w:p>
    <w:p w:rsidR="00BC2D02" w:rsidRPr="008B4629" w:rsidRDefault="00BC2D02" w:rsidP="00BC2D02">
      <w:pPr>
        <w:numPr>
          <w:ilvl w:val="0"/>
          <w:numId w:val="8"/>
        </w:numPr>
        <w:spacing w:after="0" w:line="240" w:lineRule="auto"/>
        <w:jc w:val="both"/>
        <w:rPr>
          <w:rFonts w:ascii="AvantGarde Bk BT" w:eastAsia="Times New Roman" w:hAnsi="AvantGarde Bk BT" w:cs="Arial"/>
          <w:lang w:eastAsia="es-ES"/>
        </w:rPr>
      </w:pPr>
      <w:r w:rsidRPr="00BC2D02">
        <w:rPr>
          <w:rFonts w:ascii="AvantGarde Bk BT" w:eastAsia="Times New Roman" w:hAnsi="AvantGarde Bk BT" w:cs="Arial"/>
          <w:lang w:eastAsia="es-ES"/>
        </w:rPr>
        <w:t>Que si bien muchas estrategias de la generación del conocimien</w:t>
      </w:r>
      <w:r w:rsidR="008B4629">
        <w:rPr>
          <w:rFonts w:ascii="AvantGarde Bk BT" w:eastAsia="Times New Roman" w:hAnsi="AvantGarde Bk BT" w:cs="Arial"/>
          <w:lang w:eastAsia="es-ES"/>
        </w:rPr>
        <w:t xml:space="preserve">to han afectado la información </w:t>
      </w:r>
      <w:r w:rsidRPr="00BC2D02">
        <w:rPr>
          <w:rFonts w:ascii="AvantGarde Bk BT" w:eastAsia="Times New Roman" w:hAnsi="AvantGarde Bk BT" w:cs="Arial"/>
          <w:lang w:eastAsia="es-ES"/>
        </w:rPr>
        <w:t>producida en todo el mundo, también es cierto que la mayo</w:t>
      </w:r>
      <w:r w:rsidR="008B4629">
        <w:rPr>
          <w:rFonts w:ascii="AvantGarde Bk BT" w:eastAsia="Times New Roman" w:hAnsi="AvantGarde Bk BT" w:cs="Arial"/>
          <w:lang w:eastAsia="es-ES"/>
        </w:rPr>
        <w:t xml:space="preserve">r cantidad de esta información </w:t>
      </w:r>
      <w:r w:rsidRPr="00BC2D02">
        <w:rPr>
          <w:rFonts w:ascii="AvantGarde Bk BT" w:eastAsia="Times New Roman" w:hAnsi="AvantGarde Bk BT" w:cs="Arial"/>
          <w:lang w:eastAsia="es-ES"/>
        </w:rPr>
        <w:t>representa un aporte de limitado im</w:t>
      </w:r>
      <w:r w:rsidR="008B4629">
        <w:rPr>
          <w:rFonts w:ascii="AvantGarde Bk BT" w:eastAsia="Times New Roman" w:hAnsi="AvantGarde Bk BT" w:cs="Arial"/>
          <w:lang w:eastAsia="es-ES"/>
        </w:rPr>
        <w:t xml:space="preserve">pacto en la toma de decisiones </w:t>
      </w:r>
      <w:r w:rsidRPr="00BC2D02">
        <w:rPr>
          <w:rFonts w:ascii="AvantGarde Bk BT" w:eastAsia="Times New Roman" w:hAnsi="AvantGarde Bk BT" w:cs="Arial"/>
          <w:lang w:eastAsia="es-ES"/>
        </w:rPr>
        <w:t>en salud y en su capacidad para resolver problemas concretos de una población</w:t>
      </w:r>
      <w:r w:rsidR="008B4629">
        <w:rPr>
          <w:rFonts w:ascii="AvantGarde Bk BT" w:eastAsia="Times New Roman" w:hAnsi="AvantGarde Bk BT" w:cs="Arial"/>
          <w:lang w:eastAsia="es-ES"/>
        </w:rPr>
        <w:t xml:space="preserve">. Es decir, la brecha entre la </w:t>
      </w:r>
      <w:r w:rsidRPr="00BC2D02">
        <w:rPr>
          <w:rFonts w:ascii="AvantGarde Bk BT" w:eastAsia="Times New Roman" w:hAnsi="AvantGarde Bk BT" w:cs="Arial"/>
          <w:lang w:eastAsia="es-ES"/>
        </w:rPr>
        <w:t>generación de conoc</w:t>
      </w:r>
      <w:r w:rsidR="008B4629">
        <w:rPr>
          <w:rFonts w:ascii="AvantGarde Bk BT" w:eastAsia="Times New Roman" w:hAnsi="AvantGarde Bk BT" w:cs="Arial"/>
          <w:lang w:eastAsia="es-ES"/>
        </w:rPr>
        <w:t xml:space="preserve">imiento y su impacto </w:t>
      </w:r>
      <w:r w:rsidRPr="00BC2D02">
        <w:rPr>
          <w:rFonts w:ascii="AvantGarde Bk BT" w:eastAsia="Times New Roman" w:hAnsi="AvantGarde Bk BT" w:cs="Arial"/>
          <w:lang w:eastAsia="es-ES"/>
        </w:rPr>
        <w:t>en la toma de decisiones o gest</w:t>
      </w:r>
      <w:r w:rsidR="008B4629">
        <w:rPr>
          <w:rFonts w:ascii="AvantGarde Bk BT" w:eastAsia="Times New Roman" w:hAnsi="AvantGarde Bk BT" w:cs="Arial"/>
          <w:lang w:eastAsia="es-ES"/>
        </w:rPr>
        <w:t xml:space="preserve">ión del mismo se ha ampliado y </w:t>
      </w:r>
      <w:r w:rsidRPr="00BC2D02">
        <w:rPr>
          <w:rFonts w:ascii="AvantGarde Bk BT" w:eastAsia="Times New Roman" w:hAnsi="AvantGarde Bk BT" w:cs="Arial"/>
          <w:lang w:eastAsia="es-ES"/>
        </w:rPr>
        <w:t>d</w:t>
      </w:r>
      <w:r w:rsidR="008B4629">
        <w:rPr>
          <w:rFonts w:ascii="AvantGarde Bk BT" w:eastAsia="Times New Roman" w:hAnsi="AvantGarde Bk BT" w:cs="Arial"/>
          <w:lang w:eastAsia="es-ES"/>
        </w:rPr>
        <w:t xml:space="preserve">iversificado. Es por ello que </w:t>
      </w:r>
      <w:r w:rsidRPr="00BC2D02">
        <w:rPr>
          <w:rFonts w:ascii="AvantGarde Bk BT" w:eastAsia="Times New Roman" w:hAnsi="AvantGarde Bk BT" w:cs="Arial"/>
          <w:lang w:eastAsia="es-ES"/>
        </w:rPr>
        <w:t>también han surgido propuestas metodológicas que impactan en la gestión de conocimientos aplicables de manera inmediata en los problemas de salud comunitaria; tal es el caso de</w:t>
      </w:r>
      <w:r w:rsidR="008B4629">
        <w:rPr>
          <w:rFonts w:ascii="AvantGarde Bk BT" w:eastAsia="Times New Roman" w:hAnsi="AvantGarde Bk BT" w:cs="Arial"/>
          <w:lang w:eastAsia="es-ES"/>
        </w:rPr>
        <w:t xml:space="preserve"> la Neurociencia </w:t>
      </w:r>
      <w:proofErr w:type="spellStart"/>
      <w:r w:rsidR="008B4629">
        <w:rPr>
          <w:rFonts w:ascii="AvantGarde Bk BT" w:eastAsia="Times New Roman" w:hAnsi="AvantGarde Bk BT" w:cs="Arial"/>
          <w:lang w:eastAsia="es-ES"/>
        </w:rPr>
        <w:t>Traslacional</w:t>
      </w:r>
      <w:proofErr w:type="spellEnd"/>
      <w:r w:rsidR="008B4629">
        <w:rPr>
          <w:rFonts w:ascii="AvantGarde Bk BT" w:eastAsia="Times New Roman" w:hAnsi="AvantGarde Bk BT" w:cs="Arial"/>
          <w:lang w:eastAsia="es-ES"/>
        </w:rPr>
        <w:t>.</w:t>
      </w:r>
    </w:p>
    <w:p w:rsidR="008B4629" w:rsidRDefault="008B4629">
      <w:pPr>
        <w:rPr>
          <w:rFonts w:ascii="AvantGarde Bk BT" w:eastAsia="Times New Roman" w:hAnsi="AvantGarde Bk BT" w:cs="Arial"/>
          <w:lang w:eastAsia="es-ES"/>
        </w:rPr>
      </w:pPr>
      <w:r>
        <w:rPr>
          <w:rFonts w:ascii="AvantGarde Bk BT" w:eastAsia="Times New Roman" w:hAnsi="AvantGarde Bk BT" w:cs="Arial"/>
          <w:lang w:eastAsia="es-ES"/>
        </w:rPr>
        <w:br w:type="page"/>
      </w:r>
    </w:p>
    <w:p w:rsidR="00BC2D02" w:rsidRPr="00BC2D02" w:rsidRDefault="00BC2D02" w:rsidP="00BC2D02">
      <w:pPr>
        <w:numPr>
          <w:ilvl w:val="0"/>
          <w:numId w:val="8"/>
        </w:numPr>
        <w:spacing w:after="0" w:line="240" w:lineRule="auto"/>
        <w:jc w:val="both"/>
        <w:rPr>
          <w:rFonts w:ascii="AvantGarde Bk BT" w:eastAsia="Times New Roman" w:hAnsi="AvantGarde Bk BT" w:cs="Arial"/>
          <w:lang w:eastAsia="es-ES"/>
        </w:rPr>
      </w:pPr>
      <w:r w:rsidRPr="00BC2D02">
        <w:rPr>
          <w:rFonts w:ascii="AvantGarde Bk BT" w:eastAsia="Times New Roman" w:hAnsi="AvantGarde Bk BT" w:cs="Arial"/>
          <w:lang w:eastAsia="es-ES"/>
        </w:rPr>
        <w:lastRenderedPageBreak/>
        <w:t xml:space="preserve">Que las Neurociencias </w:t>
      </w:r>
      <w:proofErr w:type="spellStart"/>
      <w:r w:rsidRPr="00BC2D02">
        <w:rPr>
          <w:rFonts w:ascii="AvantGarde Bk BT" w:eastAsia="Times New Roman" w:hAnsi="AvantGarde Bk BT" w:cs="Arial"/>
          <w:lang w:eastAsia="es-ES"/>
        </w:rPr>
        <w:t>Traslacionales</w:t>
      </w:r>
      <w:proofErr w:type="spellEnd"/>
      <w:r w:rsidRPr="00BC2D02">
        <w:rPr>
          <w:rFonts w:ascii="AvantGarde Bk BT" w:eastAsia="Times New Roman" w:hAnsi="AvantGarde Bk BT" w:cs="Arial"/>
          <w:lang w:eastAsia="es-ES"/>
        </w:rPr>
        <w:t xml:space="preserve"> representan un enlace lineal entre la investigación básica aplicada, la transferencia tecnológica y gestión del conocimiento, para la resolución de un problema concreto en el área de neurociencias, ya sea en el nivel diagnóstico, terapéutico, rehabilitación, de inserción social o con implicaciones legales. Nuestro departamento ha realizado ya esfuerzos en este sentido. Podemos poner como ejemplo la línea de investigación de biomateriales y regeneración nerviosa que a través de la investigación del biomaterial </w:t>
      </w:r>
      <w:proofErr w:type="spellStart"/>
      <w:r w:rsidRPr="00BC2D02">
        <w:rPr>
          <w:rFonts w:ascii="AvantGarde Bk BT" w:eastAsia="Times New Roman" w:hAnsi="AvantGarde Bk BT" w:cs="Arial"/>
          <w:i/>
          <w:lang w:eastAsia="es-ES"/>
        </w:rPr>
        <w:t>quitosana</w:t>
      </w:r>
      <w:proofErr w:type="spellEnd"/>
      <w:r w:rsidRPr="00BC2D02">
        <w:rPr>
          <w:rFonts w:ascii="AvantGarde Bk BT" w:eastAsia="Times New Roman" w:hAnsi="AvantGarde Bk BT" w:cs="Arial"/>
          <w:lang w:eastAsia="es-ES"/>
        </w:rPr>
        <w:t xml:space="preserve"> ha logrado caracterizar, en el nivel básico, las condiciones óptimas para su uso como agente coadyuvante en la regeneración nerviosa y, a nivel aplicado, ha logrado exitosamente utilizarlo como andamiaje de regeneración timpánica, de duramadre o como vehículo para transporte de fármacos. Los resultados de estos trabajos tienen actualmente impacto en la toma de decisiones en salud que además han generado conocimiento aplicable a la transferencia tecnológica y registro de patentes. Esta propuesta no se contrapone ni dupl</w:t>
      </w:r>
      <w:r w:rsidR="008B4629">
        <w:rPr>
          <w:rFonts w:ascii="AvantGarde Bk BT" w:eastAsia="Times New Roman" w:hAnsi="AvantGarde Bk BT" w:cs="Arial"/>
          <w:lang w:eastAsia="es-ES"/>
        </w:rPr>
        <w:t xml:space="preserve">ica las líneas de conocimiento </w:t>
      </w:r>
      <w:r w:rsidRPr="00BC2D02">
        <w:rPr>
          <w:rFonts w:ascii="AvantGarde Bk BT" w:eastAsia="Times New Roman" w:hAnsi="AvantGarde Bk BT" w:cs="Arial"/>
          <w:lang w:eastAsia="es-ES"/>
        </w:rPr>
        <w:t>d</w:t>
      </w:r>
      <w:r w:rsidR="008B4629">
        <w:rPr>
          <w:rFonts w:ascii="AvantGarde Bk BT" w:eastAsia="Times New Roman" w:hAnsi="AvantGarde Bk BT" w:cs="Arial"/>
          <w:lang w:eastAsia="es-ES"/>
        </w:rPr>
        <w:t xml:space="preserve">esarrolladas en este campo por otras instancias, </w:t>
      </w:r>
      <w:r w:rsidRPr="00BC2D02">
        <w:rPr>
          <w:rFonts w:ascii="AvantGarde Bk BT" w:eastAsia="Times New Roman" w:hAnsi="AvantGarde Bk BT" w:cs="Arial"/>
          <w:lang w:eastAsia="es-ES"/>
        </w:rPr>
        <w:t>centros o institutos de  nuestra universidad. Como es el caso del CUCBA. Sin embargo</w:t>
      </w:r>
      <w:r w:rsidR="008B4629">
        <w:rPr>
          <w:rFonts w:ascii="AvantGarde Bk BT" w:eastAsia="Times New Roman" w:hAnsi="AvantGarde Bk BT" w:cs="Arial"/>
          <w:lang w:eastAsia="es-ES"/>
        </w:rPr>
        <w:t xml:space="preserve">, en el CUCS no existe </w:t>
      </w:r>
      <w:r w:rsidRPr="00BC2D02">
        <w:rPr>
          <w:rFonts w:ascii="AvantGarde Bk BT" w:eastAsia="Times New Roman" w:hAnsi="AvantGarde Bk BT" w:cs="Arial"/>
          <w:lang w:eastAsia="es-ES"/>
        </w:rPr>
        <w:t>Instituto de Neurociencias, cuya vocac</w:t>
      </w:r>
      <w:r w:rsidR="008B4629">
        <w:rPr>
          <w:rFonts w:ascii="AvantGarde Bk BT" w:eastAsia="Times New Roman" w:hAnsi="AvantGarde Bk BT" w:cs="Arial"/>
          <w:lang w:eastAsia="es-ES"/>
        </w:rPr>
        <w:t xml:space="preserve">ión conceptual </w:t>
      </w:r>
      <w:proofErr w:type="spellStart"/>
      <w:r w:rsidR="008B4629">
        <w:rPr>
          <w:rFonts w:ascii="AvantGarde Bk BT" w:eastAsia="Times New Roman" w:hAnsi="AvantGarde Bk BT" w:cs="Arial"/>
          <w:lang w:eastAsia="es-ES"/>
        </w:rPr>
        <w:t>traslacional</w:t>
      </w:r>
      <w:proofErr w:type="spellEnd"/>
      <w:r w:rsidR="008B4629">
        <w:rPr>
          <w:rFonts w:ascii="AvantGarde Bk BT" w:eastAsia="Times New Roman" w:hAnsi="AvantGarde Bk BT" w:cs="Arial"/>
          <w:lang w:eastAsia="es-ES"/>
        </w:rPr>
        <w:t xml:space="preserve"> se </w:t>
      </w:r>
      <w:r w:rsidRPr="00BC2D02">
        <w:rPr>
          <w:rFonts w:ascii="AvantGarde Bk BT" w:eastAsia="Times New Roman" w:hAnsi="AvantGarde Bk BT" w:cs="Arial"/>
          <w:lang w:eastAsia="es-ES"/>
        </w:rPr>
        <w:t xml:space="preserve">liga y compromete a la </w:t>
      </w:r>
      <w:r w:rsidR="008B4629">
        <w:rPr>
          <w:rFonts w:ascii="AvantGarde Bk BT" w:eastAsia="Times New Roman" w:hAnsi="AvantGarde Bk BT" w:cs="Arial"/>
          <w:lang w:eastAsia="es-ES"/>
        </w:rPr>
        <w:t xml:space="preserve">generación de proyectos con un </w:t>
      </w:r>
      <w:r w:rsidRPr="00BC2D02">
        <w:rPr>
          <w:rFonts w:ascii="AvantGarde Bk BT" w:eastAsia="Times New Roman" w:hAnsi="AvantGarde Bk BT" w:cs="Arial"/>
          <w:lang w:eastAsia="es-ES"/>
        </w:rPr>
        <w:t xml:space="preserve">enlace lineal entre la investigación básica, la aplicada y la transferencia y gestión del conocimiento para la resolución de problemas concretos en corto plazo. Esta condición establece un marco de referencia de acuerdo a las tendencias globales, pero también marca los límites y diferencias con otros institutos dedicados a la investigación básica y formación de recursos  humanos pero limitada interacción con los aspectos aplicados y de gestión del conocimiento que puedan sustentar la toma de decisiones en salud y en políticas públicas. </w:t>
      </w:r>
    </w:p>
    <w:p w:rsidR="00BC2D02" w:rsidRPr="00BC2D02" w:rsidRDefault="00BC2D02" w:rsidP="008B4629">
      <w:pPr>
        <w:spacing w:after="0" w:line="240" w:lineRule="auto"/>
        <w:jc w:val="both"/>
        <w:rPr>
          <w:rFonts w:ascii="AvantGarde Bk BT" w:eastAsia="Times New Roman" w:hAnsi="AvantGarde Bk BT" w:cs="Arial"/>
          <w:lang w:eastAsia="es-ES"/>
        </w:rPr>
      </w:pPr>
    </w:p>
    <w:p w:rsidR="00BC2D02" w:rsidRPr="00BC2D02" w:rsidRDefault="00BC2D02" w:rsidP="00BC2D02">
      <w:pPr>
        <w:numPr>
          <w:ilvl w:val="0"/>
          <w:numId w:val="8"/>
        </w:numPr>
        <w:spacing w:after="0" w:line="240" w:lineRule="auto"/>
        <w:jc w:val="both"/>
        <w:rPr>
          <w:rFonts w:ascii="AvantGarde Bk BT" w:eastAsia="Times New Roman" w:hAnsi="AvantGarde Bk BT" w:cs="Arial"/>
          <w:lang w:eastAsia="es-ES"/>
        </w:rPr>
      </w:pPr>
      <w:r w:rsidRPr="00BC2D02">
        <w:rPr>
          <w:rFonts w:ascii="AvantGarde Bk BT" w:eastAsia="Times New Roman" w:hAnsi="AvantGarde Bk BT" w:cs="Arial"/>
          <w:lang w:eastAsia="es-ES"/>
        </w:rPr>
        <w:t xml:space="preserve"> Que esto evidencia la conexión lineal descrita en el formato que hoy se encuentra avalado por consenso sobre el concepto de la investigación </w:t>
      </w:r>
      <w:proofErr w:type="spellStart"/>
      <w:r w:rsidRPr="00BC2D02">
        <w:rPr>
          <w:rFonts w:ascii="AvantGarde Bk BT" w:eastAsia="Times New Roman" w:hAnsi="AvantGarde Bk BT" w:cs="Arial"/>
          <w:lang w:eastAsia="es-ES"/>
        </w:rPr>
        <w:t>traslacional</w:t>
      </w:r>
      <w:proofErr w:type="spellEnd"/>
      <w:r w:rsidRPr="00BC2D02">
        <w:rPr>
          <w:rFonts w:ascii="AvantGarde Bk BT" w:eastAsia="Times New Roman" w:hAnsi="AvantGarde Bk BT" w:cs="Arial"/>
          <w:lang w:eastAsia="es-ES"/>
        </w:rPr>
        <w:t xml:space="preserve">. Otro ejemplo relacionado con nuestras líneas de investigación son los estudios básicos sobre el efecto </w:t>
      </w:r>
      <w:proofErr w:type="spellStart"/>
      <w:r w:rsidRPr="00BC2D02">
        <w:rPr>
          <w:rFonts w:ascii="AvantGarde Bk BT" w:eastAsia="Times New Roman" w:hAnsi="AvantGarde Bk BT" w:cs="Arial"/>
          <w:lang w:eastAsia="es-ES"/>
        </w:rPr>
        <w:t>neuroprotector</w:t>
      </w:r>
      <w:proofErr w:type="spellEnd"/>
      <w:r w:rsidRPr="00BC2D02">
        <w:rPr>
          <w:rFonts w:ascii="AvantGarde Bk BT" w:eastAsia="Times New Roman" w:hAnsi="AvantGarde Bk BT" w:cs="Arial"/>
          <w:lang w:eastAsia="es-ES"/>
        </w:rPr>
        <w:t xml:space="preserve"> de la melatonina y su aplicación clínica como estrategia terapéutica en las enfermedades neurodegenerativas como Alzheimer, o incluso en trastornos del sueño, lo que permite validarlo como una opción terapéutica en donde la gestión del conocimiento pueda generar su inclusión en el cuadro básico farmacológico en las instituciones.</w:t>
      </w:r>
    </w:p>
    <w:p w:rsidR="00BC2D02" w:rsidRPr="00BC2D02" w:rsidRDefault="00BC2D02" w:rsidP="00BC2D02">
      <w:pPr>
        <w:spacing w:after="0" w:line="240" w:lineRule="auto"/>
        <w:rPr>
          <w:rFonts w:ascii="Times New Roman" w:eastAsia="Times New Roman" w:hAnsi="Times New Roman" w:cs="Times New Roman"/>
          <w:lang w:eastAsia="es-ES"/>
        </w:rPr>
      </w:pPr>
      <w:r w:rsidRPr="00BC2D02">
        <w:rPr>
          <w:rFonts w:ascii="Times New Roman" w:eastAsia="Times New Roman" w:hAnsi="Times New Roman" w:cs="Times New Roman"/>
          <w:lang w:eastAsia="es-ES"/>
        </w:rPr>
        <w:br w:type="page"/>
      </w:r>
    </w:p>
    <w:p w:rsidR="00BC2D02" w:rsidRPr="00BC2D02" w:rsidRDefault="00BC2D02" w:rsidP="00BC2D02">
      <w:pPr>
        <w:numPr>
          <w:ilvl w:val="0"/>
          <w:numId w:val="8"/>
        </w:numPr>
        <w:spacing w:after="0" w:line="240" w:lineRule="auto"/>
        <w:jc w:val="both"/>
        <w:rPr>
          <w:rFonts w:ascii="AvantGarde Bk BT" w:eastAsia="Times New Roman" w:hAnsi="AvantGarde Bk BT" w:cs="Arial"/>
          <w:lang w:eastAsia="es-ES"/>
        </w:rPr>
      </w:pPr>
      <w:r w:rsidRPr="00BC2D02">
        <w:rPr>
          <w:rFonts w:ascii="AvantGarde Bk BT" w:eastAsia="Times New Roman" w:hAnsi="AvantGarde Bk BT" w:cs="Arial"/>
          <w:lang w:eastAsia="es-ES"/>
        </w:rPr>
        <w:lastRenderedPageBreak/>
        <w:t>Que el Departamento de Neurociencias, con su prolífera y reconocida actividad científica, ha impulsado la investigación en Neurociencias desde el estudio básico hasta la actividad clínica y asistencial. Lo anterior</w:t>
      </w:r>
      <w:r w:rsidR="008B4629">
        <w:rPr>
          <w:rFonts w:ascii="AvantGarde Bk BT" w:eastAsia="Times New Roman" w:hAnsi="AvantGarde Bk BT" w:cs="Arial"/>
          <w:lang w:eastAsia="es-ES"/>
        </w:rPr>
        <w:t>,</w:t>
      </w:r>
      <w:r w:rsidRPr="00BC2D02">
        <w:rPr>
          <w:rFonts w:ascii="AvantGarde Bk BT" w:eastAsia="Times New Roman" w:hAnsi="AvantGarde Bk BT" w:cs="Arial"/>
          <w:lang w:eastAsia="es-ES"/>
        </w:rPr>
        <w:t xml:space="preserve"> ha posibilitado la generación de conocimientos, recursos y estrategias a partir de los propios trabajos desarrollados en sus laboratorios y unidad asistencial, como en los producidos a partir de su vinculación con los Hospitales Civiles Universitarios, con el Centro Médico Nacional de Occidente (CMNO) y el Centro de Investigación Biomédica de Occidente (CIBO) del IMSS, la Universidad de Colima, la Universidad Nacional Autónoma de México, la Universidad de Johns Hopkins, Universidad de Barcelona, Universidad Autónoma de Barcelona, Virginia Commonwealth </w:t>
      </w:r>
      <w:proofErr w:type="spellStart"/>
      <w:r w:rsidRPr="00BC2D02">
        <w:rPr>
          <w:rFonts w:ascii="AvantGarde Bk BT" w:eastAsia="Times New Roman" w:hAnsi="AvantGarde Bk BT" w:cs="Arial"/>
          <w:lang w:eastAsia="es-ES"/>
        </w:rPr>
        <w:t>University</w:t>
      </w:r>
      <w:proofErr w:type="spellEnd"/>
      <w:r w:rsidRPr="00BC2D02">
        <w:rPr>
          <w:rFonts w:ascii="AvantGarde Bk BT" w:eastAsia="Times New Roman" w:hAnsi="AvantGarde Bk BT" w:cs="Arial"/>
          <w:lang w:eastAsia="es-ES"/>
        </w:rPr>
        <w:t xml:space="preserve"> y empresas de la iniciativa privada como  el grupo Radiólogos Bañuelos.</w:t>
      </w:r>
    </w:p>
    <w:p w:rsidR="00BC2D02" w:rsidRPr="00BC2D02" w:rsidRDefault="00BC2D02" w:rsidP="008B4629">
      <w:pPr>
        <w:spacing w:after="0" w:line="240" w:lineRule="auto"/>
        <w:rPr>
          <w:rFonts w:ascii="AvantGarde Bk BT" w:eastAsia="Times New Roman" w:hAnsi="AvantGarde Bk BT" w:cs="Arial"/>
          <w:lang w:eastAsia="es-ES"/>
        </w:rPr>
      </w:pPr>
    </w:p>
    <w:p w:rsidR="00BC2D02" w:rsidRPr="00BC2D02" w:rsidRDefault="00BC2D02" w:rsidP="00BC2D02">
      <w:pPr>
        <w:numPr>
          <w:ilvl w:val="0"/>
          <w:numId w:val="8"/>
        </w:numPr>
        <w:spacing w:after="0" w:line="240" w:lineRule="auto"/>
        <w:jc w:val="both"/>
        <w:rPr>
          <w:rFonts w:ascii="AvantGarde Bk BT" w:eastAsia="Times New Roman" w:hAnsi="AvantGarde Bk BT" w:cs="Arial"/>
          <w:lang w:eastAsia="es-ES"/>
        </w:rPr>
      </w:pPr>
      <w:r w:rsidRPr="00BC2D02">
        <w:rPr>
          <w:rFonts w:ascii="AvantGarde Bk BT" w:eastAsia="Times New Roman" w:hAnsi="AvantGarde Bk BT" w:cs="Arial"/>
          <w:lang w:eastAsia="es-ES"/>
        </w:rPr>
        <w:t>Que desde este contexto y siendo la investigación una función sustantiva en constante crecimiento, el Departamento de Neurociencias hace imperativo renovar la búsqueda y gestión de conocimientos que dinamicen y den soluciones a los problemas de salud que afectan tanto la productividad como la calidad de vida de los seres humanos, así como la búsqueda y gestión de apoyos y</w:t>
      </w:r>
      <w:r w:rsidR="008B4629">
        <w:rPr>
          <w:rFonts w:ascii="AvantGarde Bk BT" w:eastAsia="Times New Roman" w:hAnsi="AvantGarde Bk BT" w:cs="Arial"/>
          <w:lang w:eastAsia="es-ES"/>
        </w:rPr>
        <w:t xml:space="preserve"> recursos para su desarrollo y </w:t>
      </w:r>
      <w:r w:rsidRPr="00BC2D02">
        <w:rPr>
          <w:rFonts w:ascii="AvantGarde Bk BT" w:eastAsia="Times New Roman" w:hAnsi="AvantGarde Bk BT" w:cs="Arial"/>
          <w:lang w:eastAsia="es-ES"/>
        </w:rPr>
        <w:t xml:space="preserve">avance, con pertinencia y relevancia social. De tal manera, se busca asumir la responsabilidad histórica de  impulsar esta estrategia metodológica </w:t>
      </w:r>
      <w:proofErr w:type="spellStart"/>
      <w:r w:rsidRPr="00BC2D02">
        <w:rPr>
          <w:rFonts w:ascii="AvantGarde Bk BT" w:eastAsia="Times New Roman" w:hAnsi="AvantGarde Bk BT" w:cs="Arial"/>
          <w:lang w:eastAsia="es-ES"/>
        </w:rPr>
        <w:t>traslacional</w:t>
      </w:r>
      <w:proofErr w:type="spellEnd"/>
      <w:r w:rsidRPr="00BC2D02">
        <w:rPr>
          <w:rFonts w:ascii="AvantGarde Bk BT" w:eastAsia="Times New Roman" w:hAnsi="AvantGarde Bk BT" w:cs="Arial"/>
          <w:lang w:eastAsia="es-ES"/>
        </w:rPr>
        <w:t>, como parte de la vocación en la investigació</w:t>
      </w:r>
      <w:r w:rsidR="008B4629">
        <w:rPr>
          <w:rFonts w:ascii="AvantGarde Bk BT" w:eastAsia="Times New Roman" w:hAnsi="AvantGarde Bk BT" w:cs="Arial"/>
          <w:lang w:eastAsia="es-ES"/>
        </w:rPr>
        <w:t xml:space="preserve">n científica, a </w:t>
      </w:r>
      <w:r w:rsidRPr="00BC2D02">
        <w:rPr>
          <w:rFonts w:ascii="AvantGarde Bk BT" w:eastAsia="Times New Roman" w:hAnsi="AvantGarde Bk BT" w:cs="Arial"/>
          <w:lang w:eastAsia="es-ES"/>
        </w:rPr>
        <w:t xml:space="preserve">través de la figura del Instituto de Neurociencias </w:t>
      </w:r>
      <w:proofErr w:type="spellStart"/>
      <w:r w:rsidRPr="00BC2D02">
        <w:rPr>
          <w:rFonts w:ascii="AvantGarde Bk BT" w:eastAsia="Times New Roman" w:hAnsi="AvantGarde Bk BT" w:cs="Arial"/>
          <w:lang w:eastAsia="es-ES"/>
        </w:rPr>
        <w:t>Traslacionales</w:t>
      </w:r>
      <w:proofErr w:type="spellEnd"/>
      <w:r w:rsidRPr="00BC2D02">
        <w:rPr>
          <w:rFonts w:ascii="AvantGarde Bk BT" w:eastAsia="Times New Roman" w:hAnsi="AvantGarde Bk BT" w:cs="Arial"/>
          <w:lang w:eastAsia="es-ES"/>
        </w:rPr>
        <w:t xml:space="preserve"> y el desarrollo de proyectos </w:t>
      </w:r>
      <w:proofErr w:type="spellStart"/>
      <w:r w:rsidRPr="00BC2D02">
        <w:rPr>
          <w:rFonts w:ascii="AvantGarde Bk BT" w:eastAsia="Times New Roman" w:hAnsi="AvantGarde Bk BT" w:cs="Arial"/>
          <w:lang w:eastAsia="es-ES"/>
        </w:rPr>
        <w:t>multi</w:t>
      </w:r>
      <w:proofErr w:type="spellEnd"/>
      <w:r w:rsidRPr="00BC2D02">
        <w:rPr>
          <w:rFonts w:ascii="AvantGarde Bk BT" w:eastAsia="Times New Roman" w:hAnsi="AvantGarde Bk BT" w:cs="Arial"/>
          <w:lang w:eastAsia="es-ES"/>
        </w:rPr>
        <w:t>-institucionales de carácter disciplinar.</w:t>
      </w:r>
    </w:p>
    <w:p w:rsidR="00BC2D02" w:rsidRPr="00BC2D02" w:rsidRDefault="00BC2D02" w:rsidP="008B4629">
      <w:pPr>
        <w:spacing w:after="0" w:line="240" w:lineRule="auto"/>
        <w:rPr>
          <w:rFonts w:ascii="AvantGarde Bk BT" w:eastAsia="Times New Roman" w:hAnsi="AvantGarde Bk BT" w:cs="Arial"/>
          <w:lang w:eastAsia="es-ES"/>
        </w:rPr>
      </w:pPr>
    </w:p>
    <w:p w:rsidR="00BC2D02" w:rsidRPr="00BC2D02" w:rsidRDefault="00BC2D02" w:rsidP="00BC2D02">
      <w:pPr>
        <w:numPr>
          <w:ilvl w:val="0"/>
          <w:numId w:val="8"/>
        </w:numPr>
        <w:spacing w:after="0" w:line="240" w:lineRule="auto"/>
        <w:jc w:val="both"/>
        <w:rPr>
          <w:rFonts w:ascii="AvantGarde Bk BT" w:eastAsia="Times New Roman" w:hAnsi="AvantGarde Bk BT" w:cs="Arial"/>
          <w:lang w:eastAsia="es-ES"/>
        </w:rPr>
      </w:pPr>
      <w:r w:rsidRPr="00BC2D02">
        <w:rPr>
          <w:rFonts w:ascii="AvantGarde Bk BT" w:eastAsia="Times New Roman" w:hAnsi="AvantGarde Bk BT" w:cs="Arial"/>
          <w:lang w:eastAsia="es-ES"/>
        </w:rPr>
        <w:t>Que en nuestro contexto, se care</w:t>
      </w:r>
      <w:r w:rsidR="008B4629">
        <w:rPr>
          <w:rFonts w:ascii="AvantGarde Bk BT" w:eastAsia="Times New Roman" w:hAnsi="AvantGarde Bk BT" w:cs="Arial"/>
          <w:lang w:eastAsia="es-ES"/>
        </w:rPr>
        <w:t xml:space="preserve">ce de un espacio institucional </w:t>
      </w:r>
      <w:r w:rsidRPr="00BC2D02">
        <w:rPr>
          <w:rFonts w:ascii="AvantGarde Bk BT" w:eastAsia="Times New Roman" w:hAnsi="AvantGarde Bk BT" w:cs="Arial"/>
          <w:lang w:eastAsia="es-ES"/>
        </w:rPr>
        <w:t xml:space="preserve">formal y práctico para la aplicación de metodologías y técnicas de  investigación </w:t>
      </w:r>
      <w:proofErr w:type="spellStart"/>
      <w:r w:rsidRPr="00BC2D02">
        <w:rPr>
          <w:rFonts w:ascii="AvantGarde Bk BT" w:eastAsia="Times New Roman" w:hAnsi="AvantGarde Bk BT" w:cs="Arial"/>
          <w:lang w:eastAsia="es-ES"/>
        </w:rPr>
        <w:t>traslacional</w:t>
      </w:r>
      <w:proofErr w:type="spellEnd"/>
      <w:r w:rsidRPr="00BC2D02">
        <w:rPr>
          <w:rFonts w:ascii="AvantGarde Bk BT" w:eastAsia="Times New Roman" w:hAnsi="AvantGarde Bk BT" w:cs="Arial"/>
          <w:lang w:eastAsia="es-ES"/>
        </w:rPr>
        <w:t xml:space="preserve"> </w:t>
      </w:r>
      <w:proofErr w:type="spellStart"/>
      <w:r w:rsidRPr="00BC2D02">
        <w:rPr>
          <w:rFonts w:ascii="AvantGarde Bk BT" w:eastAsia="Times New Roman" w:hAnsi="AvantGarde Bk BT" w:cs="Arial"/>
          <w:lang w:eastAsia="es-ES"/>
        </w:rPr>
        <w:t>neurocientífica</w:t>
      </w:r>
      <w:proofErr w:type="spellEnd"/>
      <w:r w:rsidRPr="00BC2D02">
        <w:rPr>
          <w:rFonts w:ascii="AvantGarde Bk BT" w:eastAsia="Times New Roman" w:hAnsi="AvantGarde Bk BT" w:cs="Arial"/>
          <w:lang w:eastAsia="es-ES"/>
        </w:rPr>
        <w:t xml:space="preserve">. La implementación del Instituto de Neurociencias </w:t>
      </w:r>
      <w:proofErr w:type="spellStart"/>
      <w:r w:rsidRPr="00BC2D02">
        <w:rPr>
          <w:rFonts w:ascii="AvantGarde Bk BT" w:eastAsia="Times New Roman" w:hAnsi="AvantGarde Bk BT" w:cs="Arial"/>
          <w:lang w:eastAsia="es-ES"/>
        </w:rPr>
        <w:t>Traslacionales</w:t>
      </w:r>
      <w:proofErr w:type="spellEnd"/>
      <w:r w:rsidRPr="00BC2D02">
        <w:rPr>
          <w:rFonts w:ascii="AvantGarde Bk BT" w:eastAsia="Times New Roman" w:hAnsi="AvantGarde Bk BT" w:cs="Arial"/>
          <w:lang w:eastAsia="es-ES"/>
        </w:rPr>
        <w:t>, además de estar en consonancia con el desarrollo de las ciencias, potencialmente dará  respuesta a una imperativa y prioritaria demanda de salud pública, favoreciendo el arribo a la práctica clínica de herramientas diagnósticas y terapéuticas, desde el conocimiento básico de las neurociencias.</w:t>
      </w:r>
    </w:p>
    <w:p w:rsidR="00BC2D02" w:rsidRPr="00BC2D02" w:rsidRDefault="00BC2D02" w:rsidP="008B4629">
      <w:pPr>
        <w:spacing w:after="0" w:line="240" w:lineRule="auto"/>
        <w:rPr>
          <w:rFonts w:ascii="AvantGarde Bk BT" w:eastAsia="Times New Roman" w:hAnsi="AvantGarde Bk BT" w:cs="Arial"/>
          <w:lang w:eastAsia="es-ES"/>
        </w:rPr>
      </w:pPr>
    </w:p>
    <w:p w:rsidR="00BC2D02" w:rsidRPr="00BC2D02" w:rsidRDefault="00BC2D02" w:rsidP="00BC2D02">
      <w:pPr>
        <w:numPr>
          <w:ilvl w:val="0"/>
          <w:numId w:val="8"/>
        </w:numPr>
        <w:spacing w:after="0" w:line="240" w:lineRule="auto"/>
        <w:jc w:val="both"/>
        <w:rPr>
          <w:rFonts w:ascii="AvantGarde Bk BT" w:eastAsia="Times New Roman" w:hAnsi="AvantGarde Bk BT" w:cs="Arial"/>
          <w:lang w:eastAsia="es-ES"/>
        </w:rPr>
      </w:pPr>
      <w:r w:rsidRPr="00BC2D02">
        <w:rPr>
          <w:rFonts w:ascii="AvantGarde Bk BT" w:eastAsia="Times New Roman" w:hAnsi="AvantGarde Bk BT" w:cs="Arial"/>
          <w:lang w:eastAsia="es-ES"/>
        </w:rPr>
        <w:t xml:space="preserve">Que adicionalmente, este avance teórico-metodológico de la actividad de investigación en Neurociencias </w:t>
      </w:r>
      <w:proofErr w:type="spellStart"/>
      <w:r w:rsidRPr="00BC2D02">
        <w:rPr>
          <w:rFonts w:ascii="AvantGarde Bk BT" w:eastAsia="Times New Roman" w:hAnsi="AvantGarde Bk BT" w:cs="Arial"/>
          <w:lang w:eastAsia="es-ES"/>
        </w:rPr>
        <w:t>Traslacionales</w:t>
      </w:r>
      <w:proofErr w:type="spellEnd"/>
      <w:r w:rsidRPr="00BC2D02">
        <w:rPr>
          <w:rFonts w:ascii="AvantGarde Bk BT" w:eastAsia="Times New Roman" w:hAnsi="AvantGarde Bk BT" w:cs="Arial"/>
          <w:lang w:eastAsia="es-ES"/>
        </w:rPr>
        <w:t xml:space="preserve"> estará vinculado sustancialmente a la actualización científica de los programas de formación en neurociencias y a la actividad asistencial relacionada a patología cerebral que tanto afecta la productividad, como la calidad de vida de los seres humanos.</w:t>
      </w:r>
    </w:p>
    <w:p w:rsidR="00BC2D02" w:rsidRPr="00BC2D02" w:rsidRDefault="00BC2D02" w:rsidP="00BC2D02">
      <w:pPr>
        <w:spacing w:after="0" w:line="240" w:lineRule="auto"/>
        <w:rPr>
          <w:rFonts w:ascii="Times New Roman" w:eastAsia="Times New Roman" w:hAnsi="Times New Roman" w:cs="Times New Roman"/>
          <w:lang w:eastAsia="es-ES"/>
        </w:rPr>
      </w:pPr>
      <w:r w:rsidRPr="00BC2D02">
        <w:rPr>
          <w:rFonts w:ascii="Times New Roman" w:eastAsia="Times New Roman" w:hAnsi="Times New Roman" w:cs="Times New Roman"/>
          <w:lang w:eastAsia="es-ES"/>
        </w:rPr>
        <w:br w:type="page"/>
      </w:r>
    </w:p>
    <w:p w:rsidR="00BC2D02" w:rsidRPr="00BC2D02" w:rsidRDefault="00BC2D02" w:rsidP="00BC2D02">
      <w:pPr>
        <w:numPr>
          <w:ilvl w:val="0"/>
          <w:numId w:val="8"/>
        </w:numPr>
        <w:spacing w:after="0" w:line="240" w:lineRule="auto"/>
        <w:jc w:val="both"/>
        <w:rPr>
          <w:rFonts w:ascii="AvantGarde Bk BT" w:eastAsia="Times New Roman" w:hAnsi="AvantGarde Bk BT" w:cs="Arial"/>
          <w:lang w:eastAsia="es-ES"/>
        </w:rPr>
      </w:pPr>
      <w:r w:rsidRPr="00BC2D02">
        <w:rPr>
          <w:rFonts w:ascii="AvantGarde Bk BT" w:eastAsia="Times New Roman" w:hAnsi="AvantGarde Bk BT" w:cs="Arial"/>
          <w:lang w:eastAsia="es-ES"/>
        </w:rPr>
        <w:lastRenderedPageBreak/>
        <w:t xml:space="preserve">Que la normatividad general y particular de la Universidad de Guadalajara establece la existencia de Unidades Departamentales, cuyo objetivo es apoyar el desarrollo de las funciones sustantivas que conforme a su organización disciplinar realizan los Departamentos. Entre las unidades se encuentra el Instituto, que se define como “la unidad departamental que realiza investigación con un alto nivel de desarrollo y cuya producción científica cuenta con reconocimiento nacional e internacional”. </w:t>
      </w:r>
    </w:p>
    <w:p w:rsidR="00BC2D02" w:rsidRDefault="00BC2D02" w:rsidP="008B4629">
      <w:pPr>
        <w:spacing w:after="0" w:line="240" w:lineRule="auto"/>
        <w:rPr>
          <w:rFonts w:ascii="AvantGarde Bk BT" w:eastAsia="Times New Roman" w:hAnsi="AvantGarde Bk BT" w:cs="Arial"/>
          <w:lang w:eastAsia="es-ES"/>
        </w:rPr>
      </w:pPr>
    </w:p>
    <w:p w:rsidR="008B4629" w:rsidRPr="00BC2D02" w:rsidRDefault="008B4629" w:rsidP="008B4629">
      <w:pPr>
        <w:numPr>
          <w:ilvl w:val="0"/>
          <w:numId w:val="8"/>
        </w:numPr>
        <w:spacing w:after="0" w:line="240" w:lineRule="auto"/>
        <w:jc w:val="both"/>
        <w:rPr>
          <w:rFonts w:ascii="AvantGarde Bk BT" w:eastAsia="Times New Roman" w:hAnsi="AvantGarde Bk BT" w:cs="Arial"/>
          <w:lang w:eastAsia="es-ES"/>
        </w:rPr>
      </w:pPr>
      <w:r>
        <w:rPr>
          <w:rFonts w:ascii="AvantGarde Bk BT" w:eastAsia="Times New Roman" w:hAnsi="AvantGarde Bk BT" w:cs="Arial"/>
          <w:lang w:eastAsia="es-ES"/>
        </w:rPr>
        <w:t xml:space="preserve">Que el </w:t>
      </w:r>
      <w:r w:rsidRPr="00BC2D02">
        <w:rPr>
          <w:rFonts w:ascii="AvantGarde Bk BT" w:eastAsia="Times New Roman" w:hAnsi="AvantGarde Bk BT" w:cs="Arial"/>
          <w:lang w:eastAsia="es-ES"/>
        </w:rPr>
        <w:t xml:space="preserve">1 de diciembre de 2014, el H. Consejo del Centro Universitario de Ciencias de la Salud aprobó el dictamen </w:t>
      </w:r>
      <w:r w:rsidRPr="00BC2D02">
        <w:rPr>
          <w:rFonts w:ascii="AvantGarde Bk BT" w:eastAsia="Times New Roman" w:hAnsi="AvantGarde Bk BT" w:cs="Arial"/>
          <w:lang w:val="es-ES" w:eastAsia="es-ES"/>
        </w:rPr>
        <w:t>1015/2014</w:t>
      </w:r>
      <w:r w:rsidRPr="00BC2D02">
        <w:rPr>
          <w:rFonts w:ascii="AvantGarde Bk BT" w:eastAsia="Times New Roman" w:hAnsi="AvantGarde Bk BT" w:cs="Arial"/>
          <w:lang w:eastAsia="es-ES"/>
        </w:rPr>
        <w:t xml:space="preserve">, mediante el cual se crea el Instituto de Neurociencias </w:t>
      </w:r>
      <w:proofErr w:type="spellStart"/>
      <w:r w:rsidRPr="00BC2D02">
        <w:rPr>
          <w:rFonts w:ascii="AvantGarde Bk BT" w:eastAsia="Times New Roman" w:hAnsi="AvantGarde Bk BT" w:cs="Arial"/>
          <w:lang w:eastAsia="es-ES"/>
        </w:rPr>
        <w:t>Traslacionales</w:t>
      </w:r>
      <w:proofErr w:type="spellEnd"/>
      <w:r w:rsidRPr="00BC2D02">
        <w:rPr>
          <w:rFonts w:ascii="AvantGarde Bk BT" w:eastAsia="Times New Roman" w:hAnsi="AvantGarde Bk BT" w:cs="Arial"/>
          <w:lang w:val="es-ES" w:eastAsia="es-ES"/>
        </w:rPr>
        <w:t xml:space="preserve">, </w:t>
      </w:r>
      <w:r w:rsidRPr="00BC2D02">
        <w:rPr>
          <w:rFonts w:ascii="AvantGarde Bk BT" w:eastAsia="Times New Roman" w:hAnsi="AvantGarde Bk BT" w:cs="Arial"/>
          <w:lang w:eastAsia="es-ES"/>
        </w:rPr>
        <w:t>adscrito al Departamento de Neurociencias, de la División de Disciplinas Básicas para la Salud.</w:t>
      </w:r>
    </w:p>
    <w:p w:rsidR="008B4629" w:rsidRPr="00BC2D02" w:rsidRDefault="008B4629" w:rsidP="008B4629">
      <w:pPr>
        <w:spacing w:after="0" w:line="240" w:lineRule="auto"/>
        <w:rPr>
          <w:rFonts w:ascii="AvantGarde Bk BT" w:eastAsia="Times New Roman" w:hAnsi="AvantGarde Bk BT" w:cs="Arial"/>
          <w:lang w:eastAsia="es-ES"/>
        </w:rPr>
      </w:pPr>
    </w:p>
    <w:p w:rsidR="00BC2D02" w:rsidRPr="00BC2D02" w:rsidRDefault="00BC2D02" w:rsidP="00BC2D02">
      <w:pPr>
        <w:numPr>
          <w:ilvl w:val="0"/>
          <w:numId w:val="8"/>
        </w:numPr>
        <w:spacing w:after="0" w:line="240" w:lineRule="auto"/>
        <w:jc w:val="both"/>
        <w:rPr>
          <w:rFonts w:ascii="AvantGarde Bk BT" w:eastAsia="Times New Roman" w:hAnsi="AvantGarde Bk BT" w:cs="Arial"/>
          <w:lang w:eastAsia="es-ES"/>
        </w:rPr>
      </w:pPr>
      <w:r w:rsidRPr="00BC2D02">
        <w:rPr>
          <w:rFonts w:ascii="AvantGarde Bk BT" w:eastAsia="Times New Roman" w:hAnsi="AvantGarde Bk BT" w:cs="Arial"/>
          <w:lang w:eastAsia="es-ES"/>
        </w:rPr>
        <w:t xml:space="preserve">Que el Instituto de Neurociencias </w:t>
      </w:r>
      <w:proofErr w:type="spellStart"/>
      <w:r w:rsidRPr="00BC2D02">
        <w:rPr>
          <w:rFonts w:ascii="AvantGarde Bk BT" w:eastAsia="Times New Roman" w:hAnsi="AvantGarde Bk BT" w:cs="Arial"/>
          <w:lang w:eastAsia="es-ES"/>
        </w:rPr>
        <w:t>Traslacionales</w:t>
      </w:r>
      <w:proofErr w:type="spellEnd"/>
      <w:r w:rsidRPr="00BC2D02">
        <w:rPr>
          <w:rFonts w:ascii="AvantGarde Bk BT" w:eastAsia="Times New Roman" w:hAnsi="AvantGarde Bk BT" w:cs="Arial"/>
          <w:lang w:eastAsia="es-ES"/>
        </w:rPr>
        <w:t xml:space="preserve"> contará con una plantilla académica de 7 (siete) profesores con categoría de titular, de tiempo completo, de los cuales el 100 por ciento tiene el grado de doctor y el reconocimiento PROMEP; además participará un profesor asociado y uno de asignatura. Todos son miembros del Sistema Nacional de Investigadores Nivel I y II.</w:t>
      </w:r>
    </w:p>
    <w:p w:rsidR="00BC2D02" w:rsidRPr="00BC2D02" w:rsidRDefault="00BC2D02" w:rsidP="00BC2D02">
      <w:pPr>
        <w:spacing w:after="0" w:line="240" w:lineRule="auto"/>
        <w:ind w:left="720"/>
        <w:jc w:val="both"/>
        <w:rPr>
          <w:rFonts w:ascii="AvantGarde Bk BT" w:eastAsia="Times New Roman" w:hAnsi="AvantGarde Bk BT" w:cs="Arial"/>
          <w:lang w:eastAsia="es-ES"/>
        </w:rPr>
      </w:pPr>
    </w:p>
    <w:tbl>
      <w:tblPr>
        <w:tblW w:w="0" w:type="auto"/>
        <w:jc w:val="right"/>
        <w:tblInd w:w="-397" w:type="dxa"/>
        <w:tblBorders>
          <w:insideH w:val="single" w:sz="4" w:space="0" w:color="auto"/>
          <w:insideV w:val="single" w:sz="4" w:space="0" w:color="auto"/>
        </w:tblBorders>
        <w:tblLayout w:type="fixed"/>
        <w:tblLook w:val="04A0" w:firstRow="1" w:lastRow="0" w:firstColumn="1" w:lastColumn="0" w:noHBand="0" w:noVBand="1"/>
      </w:tblPr>
      <w:tblGrid>
        <w:gridCol w:w="4014"/>
        <w:gridCol w:w="3259"/>
        <w:gridCol w:w="1531"/>
      </w:tblGrid>
      <w:tr w:rsidR="00BC2D02" w:rsidRPr="00BC2D02" w:rsidTr="008B4629">
        <w:trPr>
          <w:trHeight w:val="105"/>
          <w:jc w:val="right"/>
        </w:trPr>
        <w:tc>
          <w:tcPr>
            <w:tcW w:w="4014" w:type="dxa"/>
            <w:shd w:val="clear" w:color="auto" w:fill="auto"/>
          </w:tcPr>
          <w:p w:rsidR="00BC2D02" w:rsidRPr="00BC2D02" w:rsidRDefault="00BC2D02" w:rsidP="008B4629">
            <w:pPr>
              <w:spacing w:after="0"/>
              <w:jc w:val="center"/>
              <w:rPr>
                <w:rFonts w:ascii="AvantGarde Bk BT" w:eastAsia="Calibri" w:hAnsi="AvantGarde Bk BT" w:cs="Times New Roman"/>
                <w:b/>
                <w:sz w:val="18"/>
                <w:szCs w:val="18"/>
              </w:rPr>
            </w:pPr>
            <w:r w:rsidRPr="00BC2D02">
              <w:rPr>
                <w:rFonts w:ascii="AvantGarde Bk BT" w:eastAsia="Calibri" w:hAnsi="AvantGarde Bk BT" w:cs="Times New Roman"/>
                <w:b/>
                <w:sz w:val="18"/>
                <w:szCs w:val="18"/>
              </w:rPr>
              <w:t>Grado y Nombre</w:t>
            </w:r>
          </w:p>
        </w:tc>
        <w:tc>
          <w:tcPr>
            <w:tcW w:w="3259" w:type="dxa"/>
            <w:shd w:val="clear" w:color="auto" w:fill="auto"/>
          </w:tcPr>
          <w:p w:rsidR="00BC2D02" w:rsidRPr="00BC2D02" w:rsidRDefault="00BC2D02" w:rsidP="008B4629">
            <w:pPr>
              <w:spacing w:after="0"/>
              <w:jc w:val="center"/>
              <w:rPr>
                <w:rFonts w:ascii="AvantGarde Bk BT" w:eastAsia="Calibri" w:hAnsi="AvantGarde Bk BT" w:cs="Times New Roman"/>
                <w:b/>
                <w:bCs/>
                <w:sz w:val="18"/>
                <w:szCs w:val="18"/>
              </w:rPr>
            </w:pPr>
            <w:r w:rsidRPr="00BC2D02">
              <w:rPr>
                <w:rFonts w:ascii="AvantGarde Bk BT" w:eastAsia="Calibri" w:hAnsi="AvantGarde Bk BT" w:cs="Times New Roman"/>
                <w:b/>
                <w:bCs/>
                <w:sz w:val="18"/>
                <w:szCs w:val="18"/>
              </w:rPr>
              <w:t>Nombramiento y Categoría</w:t>
            </w:r>
          </w:p>
        </w:tc>
        <w:tc>
          <w:tcPr>
            <w:tcW w:w="1531" w:type="dxa"/>
            <w:shd w:val="clear" w:color="auto" w:fill="auto"/>
          </w:tcPr>
          <w:p w:rsidR="00BC2D02" w:rsidRPr="00BC2D02" w:rsidRDefault="00BC2D02" w:rsidP="008B4629">
            <w:pPr>
              <w:spacing w:after="0" w:line="240" w:lineRule="auto"/>
              <w:jc w:val="center"/>
              <w:rPr>
                <w:rFonts w:ascii="AvantGarde Bk BT" w:eastAsia="Calibri" w:hAnsi="AvantGarde Bk BT" w:cs="Times New Roman"/>
                <w:b/>
                <w:bCs/>
                <w:sz w:val="18"/>
                <w:szCs w:val="18"/>
              </w:rPr>
            </w:pPr>
            <w:r w:rsidRPr="00BC2D02">
              <w:rPr>
                <w:rFonts w:ascii="AvantGarde Bk BT" w:eastAsia="Calibri" w:hAnsi="AvantGarde Bk BT" w:cs="Times New Roman"/>
                <w:b/>
                <w:bCs/>
                <w:sz w:val="18"/>
                <w:szCs w:val="18"/>
              </w:rPr>
              <w:t>SNI/PROMEP</w:t>
            </w:r>
          </w:p>
        </w:tc>
      </w:tr>
      <w:tr w:rsidR="00BC2D02" w:rsidRPr="00BC2D02" w:rsidTr="008B4629">
        <w:trPr>
          <w:trHeight w:val="311"/>
          <w:jc w:val="right"/>
        </w:trPr>
        <w:tc>
          <w:tcPr>
            <w:tcW w:w="4014" w:type="dxa"/>
            <w:shd w:val="clear" w:color="auto" w:fill="auto"/>
            <w:vAlign w:val="center"/>
          </w:tcPr>
          <w:p w:rsidR="00BC2D02" w:rsidRPr="00BC2D02" w:rsidRDefault="00BC2D02" w:rsidP="008B4629">
            <w:pPr>
              <w:spacing w:after="0"/>
              <w:jc w:val="center"/>
              <w:rPr>
                <w:rFonts w:ascii="AvantGarde Bk BT" w:eastAsia="Calibri" w:hAnsi="AvantGarde Bk BT" w:cs="Times New Roman"/>
                <w:sz w:val="18"/>
                <w:szCs w:val="18"/>
              </w:rPr>
            </w:pPr>
            <w:r w:rsidRPr="00BC2D02">
              <w:rPr>
                <w:rFonts w:ascii="AvantGarde Bk BT" w:eastAsia="Calibri" w:hAnsi="AvantGarde Bk BT" w:cs="Times New Roman"/>
                <w:sz w:val="18"/>
                <w:szCs w:val="18"/>
              </w:rPr>
              <w:t>Dr. Rodrigo Ramos Zúñiga</w:t>
            </w:r>
          </w:p>
        </w:tc>
        <w:tc>
          <w:tcPr>
            <w:tcW w:w="3259" w:type="dxa"/>
            <w:shd w:val="clear" w:color="auto" w:fill="auto"/>
            <w:vAlign w:val="center"/>
          </w:tcPr>
          <w:p w:rsidR="00BC2D02" w:rsidRPr="00BC2D02" w:rsidRDefault="00BC2D02" w:rsidP="008B4629">
            <w:pPr>
              <w:spacing w:after="0"/>
              <w:jc w:val="center"/>
              <w:rPr>
                <w:rFonts w:ascii="AvantGarde Bk BT" w:eastAsia="Calibri" w:hAnsi="AvantGarde Bk BT" w:cs="Times New Roman"/>
                <w:sz w:val="18"/>
                <w:szCs w:val="18"/>
              </w:rPr>
            </w:pPr>
            <w:r w:rsidRPr="00BC2D02">
              <w:rPr>
                <w:rFonts w:ascii="AvantGarde Bk BT" w:eastAsia="Calibri" w:hAnsi="AvantGarde Bk BT" w:cs="Times New Roman"/>
                <w:sz w:val="18"/>
                <w:szCs w:val="18"/>
              </w:rPr>
              <w:t>Profesor Investigador Titular C. TC</w:t>
            </w:r>
          </w:p>
        </w:tc>
        <w:tc>
          <w:tcPr>
            <w:tcW w:w="1531" w:type="dxa"/>
            <w:shd w:val="clear" w:color="auto" w:fill="auto"/>
            <w:vAlign w:val="center"/>
          </w:tcPr>
          <w:p w:rsidR="00BC2D02" w:rsidRPr="00BC2D02" w:rsidRDefault="00BC2D02" w:rsidP="008B4629">
            <w:pPr>
              <w:spacing w:after="0" w:line="240" w:lineRule="auto"/>
              <w:jc w:val="center"/>
              <w:rPr>
                <w:rFonts w:ascii="AvantGarde Bk BT" w:eastAsia="Calibri" w:hAnsi="AvantGarde Bk BT" w:cs="Times New Roman"/>
                <w:sz w:val="18"/>
                <w:szCs w:val="18"/>
              </w:rPr>
            </w:pPr>
            <w:r w:rsidRPr="00BC2D02">
              <w:rPr>
                <w:rFonts w:ascii="AvantGarde Bk BT" w:eastAsia="Calibri" w:hAnsi="AvantGarde Bk BT" w:cs="Times New Roman"/>
                <w:sz w:val="18"/>
                <w:szCs w:val="18"/>
              </w:rPr>
              <w:t>SNI I/PROMEP</w:t>
            </w:r>
          </w:p>
        </w:tc>
      </w:tr>
      <w:tr w:rsidR="00BC2D02" w:rsidRPr="00BC2D02" w:rsidTr="008B4629">
        <w:trPr>
          <w:trHeight w:val="311"/>
          <w:jc w:val="right"/>
        </w:trPr>
        <w:tc>
          <w:tcPr>
            <w:tcW w:w="4014" w:type="dxa"/>
            <w:shd w:val="clear" w:color="auto" w:fill="auto"/>
            <w:vAlign w:val="center"/>
          </w:tcPr>
          <w:p w:rsidR="00BC2D02" w:rsidRPr="00BC2D02" w:rsidRDefault="00BC2D02" w:rsidP="008B4629">
            <w:pPr>
              <w:spacing w:after="0"/>
              <w:jc w:val="center"/>
              <w:rPr>
                <w:rFonts w:ascii="AvantGarde Bk BT" w:eastAsia="Calibri" w:hAnsi="AvantGarde Bk BT" w:cs="Times New Roman"/>
                <w:sz w:val="18"/>
                <w:szCs w:val="18"/>
              </w:rPr>
            </w:pPr>
            <w:r w:rsidRPr="00BC2D02">
              <w:rPr>
                <w:rFonts w:ascii="AvantGarde Bk BT" w:eastAsia="Calibri" w:hAnsi="AvantGarde Bk BT" w:cs="Times New Roman"/>
                <w:sz w:val="18"/>
                <w:szCs w:val="18"/>
              </w:rPr>
              <w:t xml:space="preserve">Dra. María Sonia </w:t>
            </w:r>
            <w:proofErr w:type="spellStart"/>
            <w:r w:rsidRPr="00BC2D02">
              <w:rPr>
                <w:rFonts w:ascii="AvantGarde Bk BT" w:eastAsia="Calibri" w:hAnsi="AvantGarde Bk BT" w:cs="Times New Roman"/>
                <w:sz w:val="18"/>
                <w:szCs w:val="18"/>
              </w:rPr>
              <w:t>Luquín</w:t>
            </w:r>
            <w:proofErr w:type="spellEnd"/>
            <w:r w:rsidRPr="00BC2D02">
              <w:rPr>
                <w:rFonts w:ascii="AvantGarde Bk BT" w:eastAsia="Calibri" w:hAnsi="AvantGarde Bk BT" w:cs="Times New Roman"/>
                <w:sz w:val="18"/>
                <w:szCs w:val="18"/>
              </w:rPr>
              <w:t xml:space="preserve"> de Anda</w:t>
            </w:r>
          </w:p>
        </w:tc>
        <w:tc>
          <w:tcPr>
            <w:tcW w:w="3259" w:type="dxa"/>
            <w:shd w:val="clear" w:color="auto" w:fill="auto"/>
            <w:vAlign w:val="center"/>
          </w:tcPr>
          <w:p w:rsidR="00BC2D02" w:rsidRPr="00BC2D02" w:rsidRDefault="00BC2D02" w:rsidP="008B4629">
            <w:pPr>
              <w:spacing w:after="0"/>
              <w:jc w:val="center"/>
              <w:rPr>
                <w:rFonts w:ascii="AvantGarde Bk BT" w:eastAsia="Calibri" w:hAnsi="AvantGarde Bk BT" w:cs="Times New Roman"/>
                <w:sz w:val="18"/>
                <w:szCs w:val="18"/>
              </w:rPr>
            </w:pPr>
            <w:r w:rsidRPr="00BC2D02">
              <w:rPr>
                <w:rFonts w:ascii="AvantGarde Bk BT" w:eastAsia="Calibri" w:hAnsi="AvantGarde Bk BT" w:cs="Times New Roman"/>
                <w:sz w:val="18"/>
                <w:szCs w:val="18"/>
              </w:rPr>
              <w:t>Profesor Investigador Titular C. TC</w:t>
            </w:r>
          </w:p>
        </w:tc>
        <w:tc>
          <w:tcPr>
            <w:tcW w:w="1531" w:type="dxa"/>
            <w:shd w:val="clear" w:color="auto" w:fill="auto"/>
            <w:vAlign w:val="center"/>
          </w:tcPr>
          <w:p w:rsidR="00BC2D02" w:rsidRPr="00BC2D02" w:rsidRDefault="00BC2D02" w:rsidP="008B4629">
            <w:pPr>
              <w:spacing w:after="0" w:line="240" w:lineRule="auto"/>
              <w:jc w:val="center"/>
              <w:rPr>
                <w:rFonts w:ascii="AvantGarde Bk BT" w:eastAsia="Calibri" w:hAnsi="AvantGarde Bk BT" w:cs="Times New Roman"/>
                <w:sz w:val="18"/>
                <w:szCs w:val="18"/>
              </w:rPr>
            </w:pPr>
            <w:r w:rsidRPr="00BC2D02">
              <w:rPr>
                <w:rFonts w:ascii="AvantGarde Bk BT" w:eastAsia="Calibri" w:hAnsi="AvantGarde Bk BT" w:cs="Times New Roman"/>
                <w:sz w:val="18"/>
                <w:szCs w:val="18"/>
              </w:rPr>
              <w:t>SNI II/PROMEP</w:t>
            </w:r>
          </w:p>
        </w:tc>
      </w:tr>
      <w:tr w:rsidR="00BC2D02" w:rsidRPr="00BC2D02" w:rsidTr="008B4629">
        <w:trPr>
          <w:trHeight w:val="311"/>
          <w:jc w:val="right"/>
        </w:trPr>
        <w:tc>
          <w:tcPr>
            <w:tcW w:w="4014" w:type="dxa"/>
            <w:shd w:val="clear" w:color="auto" w:fill="auto"/>
            <w:vAlign w:val="center"/>
          </w:tcPr>
          <w:p w:rsidR="00BC2D02" w:rsidRPr="00BC2D02" w:rsidRDefault="00BC2D02" w:rsidP="008B4629">
            <w:pPr>
              <w:spacing w:after="0"/>
              <w:jc w:val="center"/>
              <w:rPr>
                <w:rFonts w:ascii="AvantGarde Bk BT" w:eastAsia="Calibri" w:hAnsi="AvantGarde Bk BT" w:cs="Times New Roman"/>
                <w:sz w:val="18"/>
                <w:szCs w:val="18"/>
              </w:rPr>
            </w:pPr>
            <w:r w:rsidRPr="00BC2D02">
              <w:rPr>
                <w:rFonts w:ascii="AvantGarde Bk BT" w:eastAsia="Calibri" w:hAnsi="AvantGarde Bk BT" w:cs="Times New Roman"/>
                <w:sz w:val="18"/>
                <w:szCs w:val="18"/>
              </w:rPr>
              <w:t>Dr. Miguel Ángel Macías Islas</w:t>
            </w:r>
          </w:p>
        </w:tc>
        <w:tc>
          <w:tcPr>
            <w:tcW w:w="3259" w:type="dxa"/>
            <w:shd w:val="clear" w:color="auto" w:fill="auto"/>
            <w:vAlign w:val="center"/>
          </w:tcPr>
          <w:p w:rsidR="00BC2D02" w:rsidRPr="00BC2D02" w:rsidRDefault="00BC2D02" w:rsidP="008B4629">
            <w:pPr>
              <w:spacing w:after="0"/>
              <w:jc w:val="center"/>
              <w:rPr>
                <w:rFonts w:ascii="AvantGarde Bk BT" w:eastAsia="Calibri" w:hAnsi="AvantGarde Bk BT" w:cs="Times New Roman"/>
                <w:sz w:val="18"/>
                <w:szCs w:val="18"/>
              </w:rPr>
            </w:pPr>
            <w:r w:rsidRPr="00BC2D02">
              <w:rPr>
                <w:rFonts w:ascii="AvantGarde Bk BT" w:eastAsia="Calibri" w:hAnsi="AvantGarde Bk BT" w:cs="Times New Roman"/>
                <w:sz w:val="18"/>
                <w:szCs w:val="18"/>
              </w:rPr>
              <w:t>Profesor Docente Titular C. TC</w:t>
            </w:r>
          </w:p>
        </w:tc>
        <w:tc>
          <w:tcPr>
            <w:tcW w:w="1531" w:type="dxa"/>
            <w:shd w:val="clear" w:color="auto" w:fill="auto"/>
            <w:vAlign w:val="center"/>
          </w:tcPr>
          <w:p w:rsidR="00BC2D02" w:rsidRPr="00BC2D02" w:rsidRDefault="00BC2D02" w:rsidP="008B4629">
            <w:pPr>
              <w:spacing w:after="0" w:line="240" w:lineRule="auto"/>
              <w:jc w:val="center"/>
              <w:rPr>
                <w:rFonts w:ascii="AvantGarde Bk BT" w:eastAsia="Calibri" w:hAnsi="AvantGarde Bk BT" w:cs="Times New Roman"/>
                <w:sz w:val="18"/>
                <w:szCs w:val="18"/>
              </w:rPr>
            </w:pPr>
            <w:r w:rsidRPr="00BC2D02">
              <w:rPr>
                <w:rFonts w:ascii="AvantGarde Bk BT" w:eastAsia="Calibri" w:hAnsi="AvantGarde Bk BT" w:cs="Times New Roman"/>
                <w:sz w:val="18"/>
                <w:szCs w:val="18"/>
              </w:rPr>
              <w:t>SNI I/PROMEP</w:t>
            </w:r>
          </w:p>
        </w:tc>
      </w:tr>
      <w:tr w:rsidR="00BC2D02" w:rsidRPr="00BC2D02" w:rsidTr="008B4629">
        <w:trPr>
          <w:trHeight w:val="311"/>
          <w:jc w:val="right"/>
        </w:trPr>
        <w:tc>
          <w:tcPr>
            <w:tcW w:w="4014" w:type="dxa"/>
            <w:shd w:val="clear" w:color="auto" w:fill="auto"/>
            <w:vAlign w:val="center"/>
          </w:tcPr>
          <w:p w:rsidR="00BC2D02" w:rsidRPr="00BC2D02" w:rsidRDefault="00BC2D02" w:rsidP="008B4629">
            <w:pPr>
              <w:spacing w:after="0"/>
              <w:jc w:val="center"/>
              <w:rPr>
                <w:rFonts w:ascii="AvantGarde Bk BT" w:eastAsia="Calibri" w:hAnsi="AvantGarde Bk BT" w:cs="Times New Roman"/>
                <w:sz w:val="18"/>
                <w:szCs w:val="18"/>
              </w:rPr>
            </w:pPr>
            <w:r w:rsidRPr="00BC2D02">
              <w:rPr>
                <w:rFonts w:ascii="AvantGarde Bk BT" w:eastAsia="Calibri" w:hAnsi="AvantGarde Bk BT" w:cs="Times New Roman"/>
                <w:sz w:val="18"/>
                <w:szCs w:val="18"/>
              </w:rPr>
              <w:t>Dr. Luis Miguel Sánchez Loyo</w:t>
            </w:r>
          </w:p>
        </w:tc>
        <w:tc>
          <w:tcPr>
            <w:tcW w:w="3259" w:type="dxa"/>
            <w:shd w:val="clear" w:color="auto" w:fill="auto"/>
            <w:vAlign w:val="center"/>
          </w:tcPr>
          <w:p w:rsidR="00BC2D02" w:rsidRPr="00BC2D02" w:rsidRDefault="00BC2D02" w:rsidP="008B4629">
            <w:pPr>
              <w:spacing w:after="0"/>
              <w:jc w:val="center"/>
              <w:rPr>
                <w:rFonts w:ascii="AvantGarde Bk BT" w:eastAsia="Calibri" w:hAnsi="AvantGarde Bk BT" w:cs="Times New Roman"/>
                <w:sz w:val="18"/>
                <w:szCs w:val="18"/>
              </w:rPr>
            </w:pPr>
            <w:r w:rsidRPr="00BC2D02">
              <w:rPr>
                <w:rFonts w:ascii="AvantGarde Bk BT" w:eastAsia="Calibri" w:hAnsi="AvantGarde Bk BT" w:cs="Times New Roman"/>
                <w:sz w:val="18"/>
                <w:szCs w:val="18"/>
              </w:rPr>
              <w:t>Profesor Investigador Titular B. TC</w:t>
            </w:r>
          </w:p>
        </w:tc>
        <w:tc>
          <w:tcPr>
            <w:tcW w:w="1531" w:type="dxa"/>
            <w:shd w:val="clear" w:color="auto" w:fill="auto"/>
            <w:vAlign w:val="center"/>
          </w:tcPr>
          <w:p w:rsidR="00BC2D02" w:rsidRPr="00BC2D02" w:rsidRDefault="00BC2D02" w:rsidP="008B4629">
            <w:pPr>
              <w:spacing w:after="0" w:line="240" w:lineRule="auto"/>
              <w:jc w:val="center"/>
              <w:rPr>
                <w:rFonts w:ascii="AvantGarde Bk BT" w:eastAsia="Calibri" w:hAnsi="AvantGarde Bk BT" w:cs="Times New Roman"/>
                <w:sz w:val="18"/>
                <w:szCs w:val="18"/>
              </w:rPr>
            </w:pPr>
            <w:r w:rsidRPr="00BC2D02">
              <w:rPr>
                <w:rFonts w:ascii="AvantGarde Bk BT" w:eastAsia="Calibri" w:hAnsi="AvantGarde Bk BT" w:cs="Times New Roman"/>
                <w:sz w:val="18"/>
                <w:szCs w:val="18"/>
              </w:rPr>
              <w:t>SNI I/PROMEP</w:t>
            </w:r>
          </w:p>
        </w:tc>
      </w:tr>
      <w:tr w:rsidR="00BC2D02" w:rsidRPr="00BC2D02" w:rsidTr="008B4629">
        <w:trPr>
          <w:trHeight w:val="311"/>
          <w:jc w:val="right"/>
        </w:trPr>
        <w:tc>
          <w:tcPr>
            <w:tcW w:w="4014" w:type="dxa"/>
            <w:shd w:val="clear" w:color="auto" w:fill="auto"/>
            <w:vAlign w:val="center"/>
          </w:tcPr>
          <w:p w:rsidR="00BC2D02" w:rsidRPr="00BC2D02" w:rsidRDefault="00BC2D02" w:rsidP="008B4629">
            <w:pPr>
              <w:spacing w:after="0"/>
              <w:jc w:val="center"/>
              <w:rPr>
                <w:rFonts w:ascii="AvantGarde Bk BT" w:eastAsia="Calibri" w:hAnsi="AvantGarde Bk BT" w:cs="Times New Roman"/>
                <w:sz w:val="18"/>
                <w:szCs w:val="18"/>
              </w:rPr>
            </w:pPr>
            <w:r w:rsidRPr="00BC2D02">
              <w:rPr>
                <w:rFonts w:ascii="AvantGarde Bk BT" w:eastAsia="Calibri" w:hAnsi="AvantGarde Bk BT" w:cs="Times New Roman"/>
                <w:sz w:val="18"/>
                <w:szCs w:val="18"/>
              </w:rPr>
              <w:t>Dr. José Luis Ruiz Sandoval</w:t>
            </w:r>
          </w:p>
        </w:tc>
        <w:tc>
          <w:tcPr>
            <w:tcW w:w="3259" w:type="dxa"/>
            <w:shd w:val="clear" w:color="auto" w:fill="auto"/>
            <w:vAlign w:val="center"/>
          </w:tcPr>
          <w:p w:rsidR="00BC2D02" w:rsidRPr="00BC2D02" w:rsidRDefault="00BC2D02" w:rsidP="008B4629">
            <w:pPr>
              <w:spacing w:after="0"/>
              <w:jc w:val="center"/>
              <w:rPr>
                <w:rFonts w:ascii="AvantGarde Bk BT" w:eastAsia="Calibri" w:hAnsi="AvantGarde Bk BT" w:cs="Times New Roman"/>
                <w:sz w:val="18"/>
                <w:szCs w:val="18"/>
              </w:rPr>
            </w:pPr>
            <w:r w:rsidRPr="00BC2D02">
              <w:rPr>
                <w:rFonts w:ascii="AvantGarde Bk BT" w:eastAsia="Calibri" w:hAnsi="AvantGarde Bk BT" w:cs="Times New Roman"/>
                <w:sz w:val="18"/>
                <w:szCs w:val="18"/>
              </w:rPr>
              <w:t>Profesor Investigador Titular A. TC</w:t>
            </w:r>
          </w:p>
        </w:tc>
        <w:tc>
          <w:tcPr>
            <w:tcW w:w="1531" w:type="dxa"/>
            <w:shd w:val="clear" w:color="auto" w:fill="auto"/>
            <w:vAlign w:val="center"/>
          </w:tcPr>
          <w:p w:rsidR="00BC2D02" w:rsidRPr="00BC2D02" w:rsidRDefault="00BC2D02" w:rsidP="008B4629">
            <w:pPr>
              <w:spacing w:after="0" w:line="240" w:lineRule="auto"/>
              <w:jc w:val="center"/>
              <w:rPr>
                <w:rFonts w:ascii="AvantGarde Bk BT" w:eastAsia="Calibri" w:hAnsi="AvantGarde Bk BT" w:cs="Times New Roman"/>
                <w:sz w:val="18"/>
                <w:szCs w:val="18"/>
              </w:rPr>
            </w:pPr>
            <w:r w:rsidRPr="00BC2D02">
              <w:rPr>
                <w:rFonts w:ascii="AvantGarde Bk BT" w:eastAsia="Calibri" w:hAnsi="AvantGarde Bk BT" w:cs="Times New Roman"/>
                <w:sz w:val="18"/>
                <w:szCs w:val="18"/>
              </w:rPr>
              <w:t>SNI II/PROMEP</w:t>
            </w:r>
          </w:p>
        </w:tc>
      </w:tr>
      <w:tr w:rsidR="00BC2D02" w:rsidRPr="00BC2D02" w:rsidTr="008B4629">
        <w:trPr>
          <w:trHeight w:val="311"/>
          <w:jc w:val="right"/>
        </w:trPr>
        <w:tc>
          <w:tcPr>
            <w:tcW w:w="4014" w:type="dxa"/>
            <w:shd w:val="clear" w:color="auto" w:fill="auto"/>
            <w:vAlign w:val="center"/>
          </w:tcPr>
          <w:p w:rsidR="00BC2D02" w:rsidRPr="00BC2D02" w:rsidRDefault="00BC2D02" w:rsidP="008B4629">
            <w:pPr>
              <w:spacing w:after="0"/>
              <w:jc w:val="center"/>
              <w:rPr>
                <w:rFonts w:ascii="AvantGarde Bk BT" w:eastAsia="Calibri" w:hAnsi="AvantGarde Bk BT" w:cs="Times New Roman"/>
                <w:sz w:val="18"/>
                <w:szCs w:val="18"/>
              </w:rPr>
            </w:pPr>
            <w:r w:rsidRPr="00BC2D02">
              <w:rPr>
                <w:rFonts w:ascii="AvantGarde Bk BT" w:eastAsia="Calibri" w:hAnsi="AvantGarde Bk BT" w:cs="Times New Roman"/>
                <w:sz w:val="18"/>
                <w:szCs w:val="18"/>
              </w:rPr>
              <w:t>Dra. Teresita de Jesús Villaseñor Cabrera</w:t>
            </w:r>
          </w:p>
        </w:tc>
        <w:tc>
          <w:tcPr>
            <w:tcW w:w="3259" w:type="dxa"/>
            <w:shd w:val="clear" w:color="auto" w:fill="auto"/>
            <w:vAlign w:val="center"/>
          </w:tcPr>
          <w:p w:rsidR="00BC2D02" w:rsidRPr="00BC2D02" w:rsidRDefault="00BC2D02" w:rsidP="008B4629">
            <w:pPr>
              <w:spacing w:after="0"/>
              <w:jc w:val="center"/>
              <w:rPr>
                <w:rFonts w:ascii="AvantGarde Bk BT" w:eastAsia="Calibri" w:hAnsi="AvantGarde Bk BT" w:cs="Times New Roman"/>
                <w:sz w:val="18"/>
                <w:szCs w:val="18"/>
              </w:rPr>
            </w:pPr>
            <w:r w:rsidRPr="00BC2D02">
              <w:rPr>
                <w:rFonts w:ascii="AvantGarde Bk BT" w:eastAsia="Calibri" w:hAnsi="AvantGarde Bk BT" w:cs="Times New Roman"/>
                <w:sz w:val="18"/>
                <w:szCs w:val="18"/>
              </w:rPr>
              <w:t>Profesor Investigador Titular C. TC</w:t>
            </w:r>
          </w:p>
        </w:tc>
        <w:tc>
          <w:tcPr>
            <w:tcW w:w="1531" w:type="dxa"/>
            <w:shd w:val="clear" w:color="auto" w:fill="auto"/>
            <w:vAlign w:val="center"/>
          </w:tcPr>
          <w:p w:rsidR="00BC2D02" w:rsidRPr="00BC2D02" w:rsidRDefault="00BC2D02" w:rsidP="008B4629">
            <w:pPr>
              <w:spacing w:after="0" w:line="240" w:lineRule="auto"/>
              <w:jc w:val="center"/>
              <w:rPr>
                <w:rFonts w:ascii="AvantGarde Bk BT" w:eastAsia="Calibri" w:hAnsi="AvantGarde Bk BT" w:cs="Times New Roman"/>
                <w:sz w:val="18"/>
                <w:szCs w:val="18"/>
              </w:rPr>
            </w:pPr>
            <w:r w:rsidRPr="00BC2D02">
              <w:rPr>
                <w:rFonts w:ascii="AvantGarde Bk BT" w:eastAsia="Calibri" w:hAnsi="AvantGarde Bk BT" w:cs="Times New Roman"/>
                <w:sz w:val="18"/>
                <w:szCs w:val="18"/>
              </w:rPr>
              <w:t>SNI I/PROMEP</w:t>
            </w:r>
          </w:p>
        </w:tc>
      </w:tr>
      <w:tr w:rsidR="00BC2D02" w:rsidRPr="00BC2D02" w:rsidTr="008B4629">
        <w:trPr>
          <w:trHeight w:val="311"/>
          <w:jc w:val="right"/>
        </w:trPr>
        <w:tc>
          <w:tcPr>
            <w:tcW w:w="4014" w:type="dxa"/>
            <w:shd w:val="clear" w:color="auto" w:fill="auto"/>
            <w:vAlign w:val="center"/>
          </w:tcPr>
          <w:p w:rsidR="00BC2D02" w:rsidRPr="00BC2D02" w:rsidRDefault="00BC2D02" w:rsidP="008B4629">
            <w:pPr>
              <w:spacing w:after="0"/>
              <w:jc w:val="center"/>
              <w:rPr>
                <w:rFonts w:ascii="AvantGarde Bk BT" w:eastAsia="Calibri" w:hAnsi="AvantGarde Bk BT" w:cs="Times New Roman"/>
                <w:sz w:val="18"/>
                <w:szCs w:val="18"/>
              </w:rPr>
            </w:pPr>
            <w:r w:rsidRPr="00BC2D02">
              <w:rPr>
                <w:rFonts w:ascii="AvantGarde Bk BT" w:eastAsia="Calibri" w:hAnsi="AvantGarde Bk BT" w:cs="Times New Roman"/>
                <w:sz w:val="18"/>
                <w:szCs w:val="18"/>
              </w:rPr>
              <w:t>Dr. Fernando Jáuregui Huerta</w:t>
            </w:r>
          </w:p>
        </w:tc>
        <w:tc>
          <w:tcPr>
            <w:tcW w:w="3259" w:type="dxa"/>
            <w:shd w:val="clear" w:color="auto" w:fill="auto"/>
            <w:vAlign w:val="center"/>
          </w:tcPr>
          <w:p w:rsidR="00BC2D02" w:rsidRPr="00BC2D02" w:rsidRDefault="00BC2D02" w:rsidP="008B4629">
            <w:pPr>
              <w:spacing w:after="0"/>
              <w:jc w:val="center"/>
              <w:rPr>
                <w:rFonts w:ascii="AvantGarde Bk BT" w:eastAsia="Calibri" w:hAnsi="AvantGarde Bk BT" w:cs="Times New Roman"/>
                <w:sz w:val="18"/>
                <w:szCs w:val="18"/>
              </w:rPr>
            </w:pPr>
            <w:r w:rsidRPr="00BC2D02">
              <w:rPr>
                <w:rFonts w:ascii="AvantGarde Bk BT" w:eastAsia="Calibri" w:hAnsi="AvantGarde Bk BT" w:cs="Times New Roman"/>
                <w:sz w:val="18"/>
                <w:szCs w:val="18"/>
              </w:rPr>
              <w:t>Profesor Investigador Titular A TC</w:t>
            </w:r>
          </w:p>
        </w:tc>
        <w:tc>
          <w:tcPr>
            <w:tcW w:w="1531" w:type="dxa"/>
            <w:shd w:val="clear" w:color="auto" w:fill="auto"/>
            <w:vAlign w:val="center"/>
          </w:tcPr>
          <w:p w:rsidR="00BC2D02" w:rsidRPr="00BC2D02" w:rsidRDefault="00BC2D02" w:rsidP="008B4629">
            <w:pPr>
              <w:spacing w:after="0" w:line="240" w:lineRule="auto"/>
              <w:jc w:val="center"/>
              <w:rPr>
                <w:rFonts w:ascii="AvantGarde Bk BT" w:eastAsia="Calibri" w:hAnsi="AvantGarde Bk BT" w:cs="Times New Roman"/>
                <w:sz w:val="18"/>
                <w:szCs w:val="18"/>
              </w:rPr>
            </w:pPr>
            <w:r w:rsidRPr="00BC2D02">
              <w:rPr>
                <w:rFonts w:ascii="AvantGarde Bk BT" w:eastAsia="Calibri" w:hAnsi="AvantGarde Bk BT" w:cs="Times New Roman"/>
                <w:sz w:val="18"/>
                <w:szCs w:val="18"/>
              </w:rPr>
              <w:t>SNI I/PROMEP</w:t>
            </w:r>
          </w:p>
        </w:tc>
      </w:tr>
      <w:tr w:rsidR="00BC2D02" w:rsidRPr="00BC2D02" w:rsidTr="008B4629">
        <w:trPr>
          <w:trHeight w:val="311"/>
          <w:jc w:val="right"/>
        </w:trPr>
        <w:tc>
          <w:tcPr>
            <w:tcW w:w="4014" w:type="dxa"/>
            <w:shd w:val="clear" w:color="auto" w:fill="auto"/>
            <w:vAlign w:val="center"/>
          </w:tcPr>
          <w:p w:rsidR="00BC2D02" w:rsidRPr="00BC2D02" w:rsidRDefault="00BC2D02" w:rsidP="008B4629">
            <w:pPr>
              <w:spacing w:after="0"/>
              <w:jc w:val="center"/>
              <w:rPr>
                <w:rFonts w:ascii="AvantGarde Bk BT" w:eastAsia="Calibri" w:hAnsi="AvantGarde Bk BT" w:cs="Times New Roman"/>
                <w:sz w:val="18"/>
                <w:szCs w:val="18"/>
              </w:rPr>
            </w:pPr>
            <w:r w:rsidRPr="00BC2D02">
              <w:rPr>
                <w:rFonts w:ascii="AvantGarde Bk BT" w:eastAsia="Calibri" w:hAnsi="AvantGarde Bk BT" w:cs="Times New Roman"/>
                <w:sz w:val="18"/>
                <w:szCs w:val="18"/>
              </w:rPr>
              <w:t>Dra. Rocío Elizabeth González Castañeda</w:t>
            </w:r>
          </w:p>
        </w:tc>
        <w:tc>
          <w:tcPr>
            <w:tcW w:w="3259" w:type="dxa"/>
            <w:shd w:val="clear" w:color="auto" w:fill="auto"/>
            <w:vAlign w:val="center"/>
          </w:tcPr>
          <w:p w:rsidR="00BC2D02" w:rsidRPr="00074567" w:rsidRDefault="00BC2D02" w:rsidP="008B4629">
            <w:pPr>
              <w:spacing w:after="0"/>
              <w:jc w:val="center"/>
              <w:rPr>
                <w:rFonts w:ascii="AvantGarde Bk BT" w:eastAsia="Calibri" w:hAnsi="AvantGarde Bk BT" w:cs="Times New Roman"/>
                <w:sz w:val="16"/>
                <w:szCs w:val="18"/>
              </w:rPr>
            </w:pPr>
            <w:r w:rsidRPr="00074567">
              <w:rPr>
                <w:rFonts w:ascii="AvantGarde Bk BT" w:eastAsia="Calibri" w:hAnsi="AvantGarde Bk BT" w:cs="Times New Roman"/>
                <w:sz w:val="16"/>
                <w:szCs w:val="18"/>
              </w:rPr>
              <w:t>Profesor Investigador Asociado C. TC</w:t>
            </w:r>
          </w:p>
        </w:tc>
        <w:tc>
          <w:tcPr>
            <w:tcW w:w="1531" w:type="dxa"/>
            <w:shd w:val="clear" w:color="auto" w:fill="auto"/>
            <w:vAlign w:val="center"/>
          </w:tcPr>
          <w:p w:rsidR="00BC2D02" w:rsidRPr="00BC2D02" w:rsidRDefault="00BC2D02" w:rsidP="008B4629">
            <w:pPr>
              <w:spacing w:after="0" w:line="240" w:lineRule="auto"/>
              <w:jc w:val="center"/>
              <w:rPr>
                <w:rFonts w:ascii="AvantGarde Bk BT" w:eastAsia="Calibri" w:hAnsi="AvantGarde Bk BT" w:cs="Times New Roman"/>
                <w:sz w:val="18"/>
                <w:szCs w:val="18"/>
              </w:rPr>
            </w:pPr>
            <w:r w:rsidRPr="00BC2D02">
              <w:rPr>
                <w:rFonts w:ascii="AvantGarde Bk BT" w:eastAsia="Calibri" w:hAnsi="AvantGarde Bk BT" w:cs="Times New Roman"/>
                <w:sz w:val="18"/>
                <w:szCs w:val="18"/>
              </w:rPr>
              <w:t>SNI I/PROMEP</w:t>
            </w:r>
          </w:p>
        </w:tc>
      </w:tr>
      <w:tr w:rsidR="00BC2D02" w:rsidRPr="00BC2D02" w:rsidTr="008B4629">
        <w:trPr>
          <w:trHeight w:val="311"/>
          <w:jc w:val="right"/>
        </w:trPr>
        <w:tc>
          <w:tcPr>
            <w:tcW w:w="4014" w:type="dxa"/>
            <w:shd w:val="clear" w:color="auto" w:fill="auto"/>
            <w:vAlign w:val="center"/>
          </w:tcPr>
          <w:p w:rsidR="00BC2D02" w:rsidRPr="00BC2D02" w:rsidRDefault="00BC2D02" w:rsidP="008B4629">
            <w:pPr>
              <w:spacing w:after="0" w:line="240" w:lineRule="auto"/>
              <w:jc w:val="center"/>
              <w:rPr>
                <w:rFonts w:ascii="AvantGarde Bk BT" w:eastAsia="Calibri" w:hAnsi="AvantGarde Bk BT" w:cs="Times New Roman"/>
                <w:sz w:val="18"/>
                <w:szCs w:val="18"/>
              </w:rPr>
            </w:pPr>
            <w:r w:rsidRPr="00BC2D02">
              <w:rPr>
                <w:rFonts w:ascii="AvantGarde Bk BT" w:eastAsia="Calibri" w:hAnsi="AvantGarde Bk BT" w:cs="Times New Roman"/>
                <w:sz w:val="18"/>
                <w:szCs w:val="18"/>
              </w:rPr>
              <w:t>Dr. Joaquín García Estrada</w:t>
            </w:r>
          </w:p>
        </w:tc>
        <w:tc>
          <w:tcPr>
            <w:tcW w:w="3259" w:type="dxa"/>
            <w:shd w:val="clear" w:color="auto" w:fill="auto"/>
            <w:vAlign w:val="center"/>
          </w:tcPr>
          <w:p w:rsidR="00BC2D02" w:rsidRPr="00BC2D02" w:rsidRDefault="00BC2D02" w:rsidP="008B4629">
            <w:pPr>
              <w:spacing w:after="0" w:line="240" w:lineRule="auto"/>
              <w:jc w:val="center"/>
              <w:rPr>
                <w:rFonts w:ascii="AvantGarde Bk BT" w:eastAsia="Calibri" w:hAnsi="AvantGarde Bk BT" w:cs="Times New Roman"/>
                <w:sz w:val="18"/>
                <w:szCs w:val="18"/>
              </w:rPr>
            </w:pPr>
            <w:r w:rsidRPr="00BC2D02">
              <w:rPr>
                <w:rFonts w:ascii="AvantGarde Bk BT" w:eastAsia="Calibri" w:hAnsi="AvantGarde Bk BT" w:cs="Times New Roman"/>
                <w:sz w:val="18"/>
                <w:szCs w:val="18"/>
              </w:rPr>
              <w:t>Profesor de Asignatura</w:t>
            </w:r>
          </w:p>
        </w:tc>
        <w:tc>
          <w:tcPr>
            <w:tcW w:w="1531" w:type="dxa"/>
            <w:shd w:val="clear" w:color="auto" w:fill="auto"/>
            <w:vAlign w:val="center"/>
          </w:tcPr>
          <w:p w:rsidR="00BC2D02" w:rsidRPr="00BC2D02" w:rsidRDefault="00BC2D02" w:rsidP="008B4629">
            <w:pPr>
              <w:spacing w:after="0" w:line="240" w:lineRule="auto"/>
              <w:jc w:val="center"/>
              <w:rPr>
                <w:rFonts w:ascii="AvantGarde Bk BT" w:eastAsia="Calibri" w:hAnsi="AvantGarde Bk BT" w:cs="Times New Roman"/>
                <w:sz w:val="18"/>
                <w:szCs w:val="18"/>
              </w:rPr>
            </w:pPr>
            <w:r w:rsidRPr="00BC2D02">
              <w:rPr>
                <w:rFonts w:ascii="AvantGarde Bk BT" w:eastAsia="Calibri" w:hAnsi="AvantGarde Bk BT" w:cs="Times New Roman"/>
                <w:sz w:val="18"/>
                <w:szCs w:val="18"/>
              </w:rPr>
              <w:t>SNI II</w:t>
            </w:r>
          </w:p>
        </w:tc>
      </w:tr>
    </w:tbl>
    <w:p w:rsidR="00BC2D02" w:rsidRPr="00BC2D02" w:rsidRDefault="00BC2D02" w:rsidP="00BC2D02">
      <w:pPr>
        <w:spacing w:after="0" w:line="240" w:lineRule="auto"/>
        <w:ind w:left="720"/>
        <w:jc w:val="both"/>
        <w:rPr>
          <w:rFonts w:ascii="AvantGarde Bk BT" w:eastAsia="Times New Roman" w:hAnsi="AvantGarde Bk BT" w:cs="Arial"/>
          <w:lang w:eastAsia="es-ES"/>
        </w:rPr>
      </w:pPr>
    </w:p>
    <w:p w:rsidR="008B4629" w:rsidRDefault="008B4629">
      <w:pPr>
        <w:rPr>
          <w:rFonts w:ascii="AvantGarde Bk BT" w:eastAsia="Times New Roman" w:hAnsi="AvantGarde Bk BT" w:cs="Arial"/>
          <w:lang w:eastAsia="es-ES"/>
        </w:rPr>
      </w:pPr>
      <w:r>
        <w:rPr>
          <w:rFonts w:ascii="AvantGarde Bk BT" w:eastAsia="Times New Roman" w:hAnsi="AvantGarde Bk BT" w:cs="Arial"/>
          <w:lang w:eastAsia="es-ES"/>
        </w:rPr>
        <w:br w:type="page"/>
      </w:r>
    </w:p>
    <w:p w:rsidR="00BC2D02" w:rsidRPr="00BC2D02" w:rsidRDefault="00BC2D02" w:rsidP="00BC2D02">
      <w:pPr>
        <w:numPr>
          <w:ilvl w:val="0"/>
          <w:numId w:val="8"/>
        </w:numPr>
        <w:spacing w:after="0" w:line="240" w:lineRule="auto"/>
        <w:jc w:val="both"/>
        <w:rPr>
          <w:rFonts w:ascii="AvantGarde Bk BT" w:eastAsia="Times New Roman" w:hAnsi="AvantGarde Bk BT" w:cs="Arial"/>
          <w:lang w:val="es-ES" w:eastAsia="es-ES"/>
        </w:rPr>
      </w:pPr>
      <w:r w:rsidRPr="00BC2D02">
        <w:rPr>
          <w:rFonts w:ascii="AvantGarde Bk BT" w:eastAsia="Times New Roman" w:hAnsi="AvantGarde Bk BT" w:cs="Arial"/>
          <w:lang w:eastAsia="es-ES"/>
        </w:rPr>
        <w:lastRenderedPageBreak/>
        <w:t xml:space="preserve">Que el Instituto de Neurociencias </w:t>
      </w:r>
      <w:proofErr w:type="spellStart"/>
      <w:r w:rsidRPr="00BC2D02">
        <w:rPr>
          <w:rFonts w:ascii="AvantGarde Bk BT" w:eastAsia="Times New Roman" w:hAnsi="AvantGarde Bk BT" w:cs="Arial"/>
          <w:lang w:eastAsia="es-ES"/>
        </w:rPr>
        <w:t>Traslacionales</w:t>
      </w:r>
      <w:proofErr w:type="spellEnd"/>
      <w:r w:rsidRPr="00BC2D02">
        <w:rPr>
          <w:rFonts w:ascii="AvantGarde Bk BT" w:eastAsia="Times New Roman" w:hAnsi="AvantGarde Bk BT" w:cs="Arial"/>
          <w:lang w:eastAsia="es-ES"/>
        </w:rPr>
        <w:t xml:space="preserve"> tiene </w:t>
      </w:r>
      <w:r w:rsidR="008B4629">
        <w:rPr>
          <w:rFonts w:ascii="AvantGarde Bk BT" w:eastAsia="Times New Roman" w:hAnsi="AvantGarde Bk BT" w:cs="Arial"/>
          <w:lang w:eastAsia="es-ES"/>
        </w:rPr>
        <w:t>como objetivos los siguientes:</w:t>
      </w:r>
    </w:p>
    <w:p w:rsidR="008B4629" w:rsidRDefault="008B4629" w:rsidP="00BC2D02">
      <w:pPr>
        <w:spacing w:after="0" w:line="240" w:lineRule="auto"/>
        <w:ind w:left="720"/>
        <w:jc w:val="both"/>
        <w:rPr>
          <w:rFonts w:ascii="AvantGarde Bk BT" w:eastAsia="Times New Roman" w:hAnsi="AvantGarde Bk BT" w:cs="Arial"/>
          <w:i/>
          <w:lang w:val="es-ES" w:eastAsia="es-ES"/>
        </w:rPr>
      </w:pPr>
    </w:p>
    <w:p w:rsidR="00BC2D02" w:rsidRPr="00BC2D02" w:rsidRDefault="00BC2D02" w:rsidP="00BC2D02">
      <w:pPr>
        <w:spacing w:after="0" w:line="240" w:lineRule="auto"/>
        <w:ind w:left="720"/>
        <w:jc w:val="both"/>
        <w:rPr>
          <w:rFonts w:ascii="AvantGarde Bk BT" w:eastAsia="Times New Roman" w:hAnsi="AvantGarde Bk BT" w:cs="Arial"/>
          <w:lang w:val="es-ES" w:eastAsia="es-ES"/>
        </w:rPr>
      </w:pPr>
      <w:r w:rsidRPr="008B4629">
        <w:rPr>
          <w:rFonts w:ascii="AvantGarde Bk BT" w:eastAsia="Times New Roman" w:hAnsi="AvantGarde Bk BT" w:cs="Arial"/>
          <w:b/>
          <w:i/>
          <w:lang w:val="es-ES" w:eastAsia="es-ES"/>
        </w:rPr>
        <w:t>General</w:t>
      </w:r>
      <w:r w:rsidRPr="00BC2D02">
        <w:rPr>
          <w:rFonts w:ascii="AvantGarde Bk BT" w:eastAsia="Times New Roman" w:hAnsi="AvantGarde Bk BT" w:cs="Arial"/>
          <w:i/>
          <w:lang w:val="es-ES" w:eastAsia="es-ES"/>
        </w:rPr>
        <w:t>:</w:t>
      </w:r>
      <w:r w:rsidRPr="00BC2D02">
        <w:rPr>
          <w:rFonts w:ascii="AvantGarde Bk BT" w:eastAsia="Times New Roman" w:hAnsi="AvantGarde Bk BT" w:cs="Arial"/>
          <w:lang w:val="es-ES" w:eastAsia="es-ES"/>
        </w:rPr>
        <w:t xml:space="preserve"> </w:t>
      </w:r>
      <w:r w:rsidR="008B4629">
        <w:rPr>
          <w:rFonts w:ascii="AvantGarde Bk BT" w:eastAsia="Times New Roman" w:hAnsi="AvantGarde Bk BT" w:cs="Arial"/>
          <w:lang w:val="es-ES" w:eastAsia="es-ES"/>
        </w:rPr>
        <w:t>d</w:t>
      </w:r>
      <w:r w:rsidRPr="00BC2D02">
        <w:rPr>
          <w:rFonts w:ascii="AvantGarde Bk BT" w:eastAsia="Times New Roman" w:hAnsi="AvantGarde Bk BT" w:cs="Arial"/>
          <w:lang w:val="es-ES" w:eastAsia="es-ES"/>
        </w:rPr>
        <w:t xml:space="preserve">esarrollar investigación científica y multidisciplinar de excelencia en las neurociencias  bajo el modelo </w:t>
      </w:r>
      <w:proofErr w:type="spellStart"/>
      <w:r w:rsidRPr="00BC2D02">
        <w:rPr>
          <w:rFonts w:ascii="AvantGarde Bk BT" w:eastAsia="Times New Roman" w:hAnsi="AvantGarde Bk BT" w:cs="Arial"/>
          <w:lang w:val="es-ES" w:eastAsia="es-ES"/>
        </w:rPr>
        <w:t>traslacional</w:t>
      </w:r>
      <w:proofErr w:type="spellEnd"/>
      <w:r w:rsidRPr="00BC2D02">
        <w:rPr>
          <w:rFonts w:ascii="AvantGarde Bk BT" w:eastAsia="Times New Roman" w:hAnsi="AvantGarde Bk BT" w:cs="Arial"/>
          <w:lang w:val="es-ES" w:eastAsia="es-ES"/>
        </w:rPr>
        <w:t xml:space="preserve">  que,  vinculada a la docencia y extensión, contribuya a la transferencia de conocimientos del sistema nervioso útiles en el diagnóstico, tratamiento, rehabilitación y prevención,  proporcionando datos  que valide la toma de decisiones en el área de la salud.</w:t>
      </w:r>
    </w:p>
    <w:p w:rsidR="008B4629" w:rsidRDefault="008B4629" w:rsidP="008B4629">
      <w:pPr>
        <w:spacing w:after="0" w:line="240" w:lineRule="auto"/>
        <w:jc w:val="both"/>
        <w:rPr>
          <w:rFonts w:ascii="AvantGarde Bk BT" w:eastAsia="Times New Roman" w:hAnsi="AvantGarde Bk BT" w:cs="Arial"/>
          <w:i/>
          <w:lang w:val="es-ES" w:eastAsia="es-ES"/>
        </w:rPr>
      </w:pPr>
    </w:p>
    <w:p w:rsidR="00BC2D02" w:rsidRPr="008B4629" w:rsidRDefault="008B4629" w:rsidP="00BC2D02">
      <w:pPr>
        <w:spacing w:after="0" w:line="240" w:lineRule="auto"/>
        <w:ind w:left="720"/>
        <w:jc w:val="both"/>
        <w:rPr>
          <w:rFonts w:ascii="AvantGarde Bk BT" w:eastAsia="Times New Roman" w:hAnsi="AvantGarde Bk BT" w:cs="Arial"/>
          <w:b/>
          <w:i/>
          <w:lang w:val="es-ES" w:eastAsia="es-ES"/>
        </w:rPr>
      </w:pPr>
      <w:r w:rsidRPr="008B4629">
        <w:rPr>
          <w:rFonts w:ascii="AvantGarde Bk BT" w:eastAsia="Times New Roman" w:hAnsi="AvantGarde Bk BT" w:cs="Arial"/>
          <w:b/>
          <w:i/>
          <w:lang w:val="es-ES" w:eastAsia="es-ES"/>
        </w:rPr>
        <w:t>Particulares:</w:t>
      </w:r>
    </w:p>
    <w:p w:rsidR="008B4629" w:rsidRPr="00BC2D02" w:rsidRDefault="008B4629" w:rsidP="008B4629">
      <w:pPr>
        <w:spacing w:after="0" w:line="240" w:lineRule="auto"/>
        <w:jc w:val="both"/>
        <w:rPr>
          <w:rFonts w:ascii="AvantGarde Bk BT" w:eastAsia="Times New Roman" w:hAnsi="AvantGarde Bk BT" w:cs="Arial"/>
          <w:i/>
          <w:lang w:val="es-ES" w:eastAsia="es-ES"/>
        </w:rPr>
      </w:pPr>
    </w:p>
    <w:p w:rsidR="00BC2D02" w:rsidRPr="00BC2D02" w:rsidRDefault="00BC2D02" w:rsidP="008B4629">
      <w:pPr>
        <w:numPr>
          <w:ilvl w:val="0"/>
          <w:numId w:val="10"/>
        </w:numPr>
        <w:spacing w:after="0" w:line="240" w:lineRule="auto"/>
        <w:jc w:val="both"/>
        <w:rPr>
          <w:rFonts w:ascii="AvantGarde Bk BT" w:eastAsia="Times New Roman" w:hAnsi="AvantGarde Bk BT" w:cs="Arial"/>
          <w:lang w:eastAsia="es-ES"/>
        </w:rPr>
      </w:pPr>
      <w:r w:rsidRPr="00BC2D02">
        <w:rPr>
          <w:rFonts w:ascii="AvantGarde Bk BT" w:eastAsia="Times New Roman" w:hAnsi="AvantGarde Bk BT" w:cs="Arial"/>
          <w:lang w:eastAsia="es-ES"/>
        </w:rPr>
        <w:t xml:space="preserve">Impulsar, promover, producir y coordinar proyectos de investigación </w:t>
      </w:r>
      <w:proofErr w:type="spellStart"/>
      <w:r w:rsidRPr="00BC2D02">
        <w:rPr>
          <w:rFonts w:ascii="AvantGarde Bk BT" w:eastAsia="Times New Roman" w:hAnsi="AvantGarde Bk BT" w:cs="Arial"/>
          <w:lang w:eastAsia="es-ES"/>
        </w:rPr>
        <w:t>traslacional</w:t>
      </w:r>
      <w:proofErr w:type="spellEnd"/>
      <w:r w:rsidRPr="00BC2D02">
        <w:rPr>
          <w:rFonts w:ascii="AvantGarde Bk BT" w:eastAsia="Times New Roman" w:hAnsi="AvantGarde Bk BT" w:cs="Arial"/>
          <w:lang w:eastAsia="es-ES"/>
        </w:rPr>
        <w:t>, vinculados a la docencia y extensión, en el campo de la plasticidad cerebral normal y patológica;</w:t>
      </w:r>
    </w:p>
    <w:p w:rsidR="00BC2D02" w:rsidRPr="00BC2D02" w:rsidRDefault="00BC2D02" w:rsidP="008B4629">
      <w:pPr>
        <w:numPr>
          <w:ilvl w:val="0"/>
          <w:numId w:val="10"/>
        </w:numPr>
        <w:spacing w:after="0" w:line="240" w:lineRule="auto"/>
        <w:jc w:val="both"/>
        <w:rPr>
          <w:rFonts w:ascii="AvantGarde Bk BT" w:eastAsia="Times New Roman" w:hAnsi="AvantGarde Bk BT" w:cs="Arial"/>
          <w:lang w:eastAsia="es-ES"/>
        </w:rPr>
      </w:pPr>
      <w:r w:rsidRPr="00BC2D02">
        <w:rPr>
          <w:rFonts w:ascii="AvantGarde Bk BT" w:eastAsia="Times New Roman" w:hAnsi="AvantGarde Bk BT" w:cs="Arial"/>
          <w:lang w:eastAsia="es-ES"/>
        </w:rPr>
        <w:t xml:space="preserve">Impulsar, promover, producir y coordinar proyectos de investigación </w:t>
      </w:r>
      <w:proofErr w:type="spellStart"/>
      <w:r w:rsidRPr="00BC2D02">
        <w:rPr>
          <w:rFonts w:ascii="AvantGarde Bk BT" w:eastAsia="Times New Roman" w:hAnsi="AvantGarde Bk BT" w:cs="Arial"/>
          <w:lang w:eastAsia="es-ES"/>
        </w:rPr>
        <w:t>traslacional</w:t>
      </w:r>
      <w:proofErr w:type="spellEnd"/>
      <w:r w:rsidRPr="00BC2D02">
        <w:rPr>
          <w:rFonts w:ascii="AvantGarde Bk BT" w:eastAsia="Times New Roman" w:hAnsi="AvantGarde Bk BT" w:cs="Arial"/>
          <w:lang w:eastAsia="es-ES"/>
        </w:rPr>
        <w:t>, vinculados a la docencia y extensión, en el estudio del cerebro, adaptación y cognición;</w:t>
      </w:r>
    </w:p>
    <w:p w:rsidR="00BC2D02" w:rsidRPr="00BC2D02" w:rsidRDefault="00BC2D02" w:rsidP="008B4629">
      <w:pPr>
        <w:numPr>
          <w:ilvl w:val="0"/>
          <w:numId w:val="10"/>
        </w:numPr>
        <w:spacing w:after="0" w:line="240" w:lineRule="auto"/>
        <w:jc w:val="both"/>
        <w:rPr>
          <w:rFonts w:ascii="AvantGarde Bk BT" w:eastAsia="Times New Roman" w:hAnsi="AvantGarde Bk BT" w:cs="Arial"/>
          <w:lang w:eastAsia="es-ES"/>
        </w:rPr>
      </w:pPr>
      <w:r w:rsidRPr="00BC2D02">
        <w:rPr>
          <w:rFonts w:ascii="AvantGarde Bk BT" w:eastAsia="Times New Roman" w:hAnsi="AvantGarde Bk BT" w:cs="Arial"/>
          <w:lang w:eastAsia="es-ES"/>
        </w:rPr>
        <w:t xml:space="preserve"> Impulsar, promover, producir y coordinar proyectos de investigación  científica que fortalezcan la internacionalización,  la formación de redes del conocimiento orientadas a la transferencia tecnoló</w:t>
      </w:r>
      <w:r w:rsidR="008B4629">
        <w:rPr>
          <w:rFonts w:ascii="AvantGarde Bk BT" w:eastAsia="Times New Roman" w:hAnsi="AvantGarde Bk BT" w:cs="Arial"/>
          <w:lang w:eastAsia="es-ES"/>
        </w:rPr>
        <w:t>gica y gestión del conocimiento, y</w:t>
      </w:r>
    </w:p>
    <w:p w:rsidR="00BC2D02" w:rsidRPr="00BC2D02" w:rsidRDefault="00BC2D02" w:rsidP="008B4629">
      <w:pPr>
        <w:numPr>
          <w:ilvl w:val="0"/>
          <w:numId w:val="10"/>
        </w:numPr>
        <w:spacing w:after="0" w:line="240" w:lineRule="auto"/>
        <w:jc w:val="both"/>
        <w:rPr>
          <w:rFonts w:ascii="AvantGarde Bk BT" w:eastAsia="Times New Roman" w:hAnsi="AvantGarde Bk BT" w:cs="Arial"/>
          <w:lang w:eastAsia="es-ES"/>
        </w:rPr>
      </w:pPr>
      <w:r w:rsidRPr="00BC2D02">
        <w:rPr>
          <w:rFonts w:ascii="AvantGarde Bk BT" w:eastAsia="Times New Roman" w:hAnsi="AvantGarde Bk BT" w:cs="Arial"/>
          <w:lang w:eastAsia="es-ES"/>
        </w:rPr>
        <w:t>Fortalecer la investigación en neurociencias interdisciplinarias y multidisciplinarias, en  redes nacionales e Internacionales, promoviendo la gestión del conocimiento en el esquema de triple hélice: universidad- gobierno- empresa.</w:t>
      </w:r>
    </w:p>
    <w:p w:rsidR="00BC2D02" w:rsidRPr="00BC2D02" w:rsidRDefault="00BC2D02" w:rsidP="008B4629">
      <w:pPr>
        <w:spacing w:after="0" w:line="240" w:lineRule="auto"/>
        <w:rPr>
          <w:rFonts w:ascii="AvantGarde Bk BT" w:eastAsia="Times New Roman" w:hAnsi="AvantGarde Bk BT" w:cs="Arial"/>
          <w:lang w:eastAsia="es-ES"/>
        </w:rPr>
      </w:pPr>
    </w:p>
    <w:p w:rsidR="00BC2D02" w:rsidRPr="00BC2D02" w:rsidRDefault="00BC2D02" w:rsidP="00BC2D02">
      <w:pPr>
        <w:spacing w:after="0" w:line="240" w:lineRule="auto"/>
        <w:jc w:val="both"/>
        <w:rPr>
          <w:rFonts w:ascii="AvantGarde Bk BT" w:eastAsia="Times New Roman" w:hAnsi="AvantGarde Bk BT" w:cs="Arial"/>
          <w:lang w:eastAsia="es-ES"/>
        </w:rPr>
      </w:pPr>
      <w:r w:rsidRPr="00BC2D02">
        <w:rPr>
          <w:rFonts w:ascii="AvantGarde Bk BT" w:eastAsia="Times New Roman" w:hAnsi="AvantGarde Bk BT" w:cs="Arial"/>
          <w:lang w:eastAsia="es-ES"/>
        </w:rPr>
        <w:t>En virtud de los resultandos antes expuestos y</w:t>
      </w:r>
    </w:p>
    <w:p w:rsidR="00BC2D02" w:rsidRPr="00BC2D02" w:rsidRDefault="00BC2D02" w:rsidP="00BC2D02">
      <w:pPr>
        <w:spacing w:after="0" w:line="240" w:lineRule="auto"/>
        <w:jc w:val="both"/>
        <w:rPr>
          <w:rFonts w:ascii="AvantGarde Bk BT" w:eastAsia="Times New Roman" w:hAnsi="AvantGarde Bk BT" w:cs="Arial"/>
          <w:lang w:eastAsia="es-ES"/>
        </w:rPr>
      </w:pPr>
    </w:p>
    <w:p w:rsidR="00BC2D02" w:rsidRPr="00BC2D02" w:rsidRDefault="00BC2D02" w:rsidP="00BC2D02">
      <w:pPr>
        <w:spacing w:after="0" w:line="240" w:lineRule="auto"/>
        <w:jc w:val="center"/>
        <w:rPr>
          <w:rFonts w:ascii="AvantGarde Bk BT" w:eastAsia="Times New Roman" w:hAnsi="AvantGarde Bk BT" w:cs="Arial"/>
          <w:lang w:val="pt-BR" w:eastAsia="es-ES"/>
        </w:rPr>
      </w:pPr>
      <w:r w:rsidRPr="00BC2D02">
        <w:rPr>
          <w:rFonts w:ascii="AvantGarde Bk BT" w:eastAsia="Times New Roman" w:hAnsi="AvantGarde Bk BT" w:cs="Arial"/>
          <w:lang w:val="pt-BR" w:eastAsia="es-ES"/>
        </w:rPr>
        <w:t>C o n s i d e r a n d o:</w:t>
      </w:r>
    </w:p>
    <w:p w:rsidR="00BC2D02" w:rsidRPr="00BC2D02" w:rsidRDefault="00BC2D02" w:rsidP="00BC2D02">
      <w:pPr>
        <w:spacing w:after="0" w:line="240" w:lineRule="auto"/>
        <w:jc w:val="both"/>
        <w:rPr>
          <w:rFonts w:ascii="AvantGarde Bk BT" w:eastAsia="Times New Roman" w:hAnsi="AvantGarde Bk BT" w:cs="Arial"/>
          <w:lang w:val="pt-BR" w:eastAsia="es-ES"/>
        </w:rPr>
      </w:pPr>
    </w:p>
    <w:p w:rsidR="00BC2D02" w:rsidRPr="00BC2D02" w:rsidRDefault="00BC2D02" w:rsidP="00BC2D02">
      <w:pPr>
        <w:numPr>
          <w:ilvl w:val="0"/>
          <w:numId w:val="7"/>
        </w:numPr>
        <w:spacing w:after="0" w:line="240" w:lineRule="auto"/>
        <w:jc w:val="both"/>
        <w:rPr>
          <w:rFonts w:ascii="AvantGarde Bk BT" w:eastAsia="Times New Roman" w:hAnsi="AvantGarde Bk BT" w:cs="Arial"/>
          <w:lang w:eastAsia="es-ES"/>
        </w:rPr>
      </w:pPr>
      <w:r w:rsidRPr="00BC2D02">
        <w:rPr>
          <w:rFonts w:ascii="AvantGarde Bk BT" w:eastAsia="Times New Roman" w:hAnsi="AvantGarde Bk BT" w:cs="Arial"/>
          <w:lang w:eastAsia="es-ES"/>
        </w:rPr>
        <w:t>Que la Universidad de Guadalajara es una Institución de Educación Media y Superior reconocida oficialmente por el Gobierno de la República, creada en virtud del decreto número 2721 del H. Congreso del Estado de Jalisco, de fecha 7 de septiembre de 1925, lo que posibilitó la promulgación de su primera Ley Orgánica el día 25 del mismo mes y año.</w:t>
      </w:r>
    </w:p>
    <w:p w:rsidR="00BC2D02" w:rsidRPr="00BC2D02" w:rsidRDefault="00BC2D02" w:rsidP="008B4629">
      <w:pPr>
        <w:spacing w:after="0" w:line="240" w:lineRule="auto"/>
        <w:jc w:val="both"/>
        <w:rPr>
          <w:rFonts w:ascii="AvantGarde Bk BT" w:eastAsia="Times New Roman" w:hAnsi="AvantGarde Bk BT" w:cs="Arial"/>
          <w:lang w:eastAsia="es-ES"/>
        </w:rPr>
      </w:pPr>
    </w:p>
    <w:p w:rsidR="00BC2D02" w:rsidRPr="00BC2D02" w:rsidRDefault="00BC2D02" w:rsidP="00BC2D02">
      <w:pPr>
        <w:numPr>
          <w:ilvl w:val="0"/>
          <w:numId w:val="7"/>
        </w:numPr>
        <w:spacing w:after="0" w:line="240" w:lineRule="auto"/>
        <w:jc w:val="both"/>
        <w:rPr>
          <w:rFonts w:ascii="AvantGarde Bk BT" w:eastAsia="Times New Roman" w:hAnsi="AvantGarde Bk BT" w:cs="Arial"/>
          <w:lang w:eastAsia="es-ES"/>
        </w:rPr>
      </w:pPr>
      <w:r w:rsidRPr="00BC2D02">
        <w:rPr>
          <w:rFonts w:ascii="AvantGarde Bk BT" w:eastAsia="Times New Roman" w:hAnsi="AvantGarde Bk BT" w:cs="Arial"/>
          <w:lang w:eastAsia="es-ES"/>
        </w:rPr>
        <w:t>Que la Universidad de Guadalajara es un organismo público descentralizado del Gobierno del Estado con autonomía, personalidad jurídica y patrimonio propios, de conformidad con lo dispuesto en el artículo 1 de su Ley Orgánica, promulgada por el Ejecutivo local el día 15 de enero de 1994, en ejecución del decreto número 15319 del H. Congreso del Estado de Jalisco.</w:t>
      </w:r>
    </w:p>
    <w:p w:rsidR="00BC2D02" w:rsidRDefault="00BC2D02">
      <w:pPr>
        <w:rPr>
          <w:rFonts w:ascii="AvantGarde Bk BT" w:eastAsia="Times New Roman" w:hAnsi="AvantGarde Bk BT" w:cs="Arial"/>
          <w:lang w:eastAsia="es-ES"/>
        </w:rPr>
      </w:pPr>
      <w:r>
        <w:rPr>
          <w:rFonts w:ascii="AvantGarde Bk BT" w:eastAsia="Times New Roman" w:hAnsi="AvantGarde Bk BT" w:cs="Arial"/>
          <w:lang w:eastAsia="es-ES"/>
        </w:rPr>
        <w:br w:type="page"/>
      </w:r>
    </w:p>
    <w:p w:rsidR="00BC2D02" w:rsidRPr="00BC2D02" w:rsidRDefault="00BC2D02" w:rsidP="00BC2D02">
      <w:pPr>
        <w:numPr>
          <w:ilvl w:val="0"/>
          <w:numId w:val="7"/>
        </w:numPr>
        <w:spacing w:after="0" w:line="240" w:lineRule="auto"/>
        <w:jc w:val="both"/>
        <w:rPr>
          <w:rFonts w:ascii="AvantGarde Bk BT" w:eastAsia="Times New Roman" w:hAnsi="AvantGarde Bk BT" w:cs="Arial"/>
          <w:lang w:eastAsia="es-ES"/>
        </w:rPr>
      </w:pPr>
      <w:r w:rsidRPr="00BC2D02">
        <w:rPr>
          <w:rFonts w:ascii="AvantGarde Bk BT" w:eastAsia="Times New Roman" w:hAnsi="AvantGarde Bk BT" w:cs="Arial"/>
          <w:lang w:eastAsia="es-ES"/>
        </w:rPr>
        <w:lastRenderedPageBreak/>
        <w:t>Que como lo señalan las fracciones I, II 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rsidR="00BC2D02" w:rsidRPr="00BC2D02" w:rsidRDefault="00BC2D02" w:rsidP="00BC2D02">
      <w:pPr>
        <w:numPr>
          <w:ilvl w:val="12"/>
          <w:numId w:val="0"/>
        </w:numPr>
        <w:spacing w:after="0" w:line="240" w:lineRule="auto"/>
        <w:jc w:val="both"/>
        <w:rPr>
          <w:rFonts w:ascii="AvantGarde Bk BT" w:eastAsia="Times New Roman" w:hAnsi="AvantGarde Bk BT" w:cs="Arial"/>
          <w:lang w:eastAsia="es-ES"/>
        </w:rPr>
      </w:pPr>
    </w:p>
    <w:p w:rsidR="00BC2D02" w:rsidRPr="00BC2D02" w:rsidRDefault="00BC2D02" w:rsidP="00BC2D02">
      <w:pPr>
        <w:numPr>
          <w:ilvl w:val="0"/>
          <w:numId w:val="7"/>
        </w:numPr>
        <w:spacing w:after="0" w:line="240" w:lineRule="auto"/>
        <w:jc w:val="both"/>
        <w:rPr>
          <w:rFonts w:ascii="AvantGarde Bk BT" w:eastAsia="Times New Roman" w:hAnsi="AvantGarde Bk BT" w:cs="Arial"/>
          <w:lang w:eastAsia="es-ES"/>
        </w:rPr>
      </w:pPr>
      <w:r w:rsidRPr="00BC2D02">
        <w:rPr>
          <w:rFonts w:ascii="AvantGarde Bk BT" w:eastAsia="Times New Roman" w:hAnsi="AvantGarde Bk BT" w:cs="Arial"/>
          <w:lang w:eastAsia="es-ES"/>
        </w:rPr>
        <w:t>Que es atribución de la Universidad realizar programas de docencia, investigación y difusión de la cultura, de acuerdo con los principios y orientaciones previstos en el artículo 3 de la  Constitución Federal, así como la de establecer las aportaciones de cooperación y recuperación por los servicios que presta, tal y como se estipula en las fracciones III y XII del artículo 6 de la Ley Orgánica de la Universidad de Guadalajara.</w:t>
      </w:r>
    </w:p>
    <w:p w:rsidR="00BC2D02" w:rsidRPr="00BC2D02" w:rsidRDefault="00BC2D02" w:rsidP="00BC2D02">
      <w:pPr>
        <w:numPr>
          <w:ilvl w:val="12"/>
          <w:numId w:val="0"/>
        </w:numPr>
        <w:spacing w:after="0" w:line="240" w:lineRule="auto"/>
        <w:jc w:val="both"/>
        <w:rPr>
          <w:rFonts w:ascii="AvantGarde Bk BT" w:eastAsia="Times New Roman" w:hAnsi="AvantGarde Bk BT" w:cs="Arial"/>
          <w:lang w:eastAsia="es-ES"/>
        </w:rPr>
      </w:pPr>
    </w:p>
    <w:p w:rsidR="00BC2D02" w:rsidRPr="00BC2D02" w:rsidRDefault="00BC2D02" w:rsidP="00BC2D02">
      <w:pPr>
        <w:numPr>
          <w:ilvl w:val="0"/>
          <w:numId w:val="7"/>
        </w:numPr>
        <w:spacing w:after="0" w:line="240" w:lineRule="auto"/>
        <w:jc w:val="both"/>
        <w:rPr>
          <w:rFonts w:ascii="AvantGarde Bk BT" w:eastAsia="Times New Roman" w:hAnsi="AvantGarde Bk BT" w:cs="Arial"/>
          <w:lang w:eastAsia="es-ES"/>
        </w:rPr>
      </w:pPr>
      <w:r w:rsidRPr="00BC2D02">
        <w:rPr>
          <w:rFonts w:ascii="AvantGarde Bk BT" w:eastAsia="Times New Roman" w:hAnsi="AvantGarde Bk BT" w:cs="Arial"/>
          <w:lang w:eastAsia="es-ES"/>
        </w:rPr>
        <w:t xml:space="preserve">Que de acuerdo con el artículo 22 de la Ley Orgánica, la Universidad de Guadalajara adoptará el modelo de Red para organizar sus actividades académicas y administrativas. Corresponde a la Universidad organizarse para el cumplimiento de sus fines, de acuerdo con las atribuciones que le otorga el artículo 6 en sus fracciones II y XIII del mencionado ordenamiento legal. </w:t>
      </w:r>
    </w:p>
    <w:p w:rsidR="00BC2D02" w:rsidRPr="00BC2D02" w:rsidRDefault="00BC2D02" w:rsidP="00BC2D02">
      <w:pPr>
        <w:numPr>
          <w:ilvl w:val="12"/>
          <w:numId w:val="0"/>
        </w:numPr>
        <w:spacing w:after="0" w:line="240" w:lineRule="auto"/>
        <w:jc w:val="both"/>
        <w:rPr>
          <w:rFonts w:ascii="AvantGarde Bk BT" w:eastAsia="Times New Roman" w:hAnsi="AvantGarde Bk BT" w:cs="Arial"/>
          <w:lang w:eastAsia="es-ES"/>
        </w:rPr>
      </w:pPr>
    </w:p>
    <w:p w:rsidR="00BC2D02" w:rsidRPr="00BC2D02" w:rsidRDefault="00BC2D02" w:rsidP="00BC2D02">
      <w:pPr>
        <w:numPr>
          <w:ilvl w:val="0"/>
          <w:numId w:val="7"/>
        </w:numPr>
        <w:spacing w:after="0" w:line="240" w:lineRule="auto"/>
        <w:jc w:val="both"/>
        <w:rPr>
          <w:rFonts w:ascii="AvantGarde Bk BT" w:eastAsia="Times New Roman" w:hAnsi="AvantGarde Bk BT" w:cs="Arial"/>
          <w:lang w:eastAsia="es-ES"/>
        </w:rPr>
      </w:pPr>
      <w:r w:rsidRPr="00BC2D02">
        <w:rPr>
          <w:rFonts w:ascii="AvantGarde Bk BT" w:eastAsia="Times New Roman" w:hAnsi="AvantGarde Bk BT" w:cs="Arial"/>
          <w:lang w:eastAsia="es-ES"/>
        </w:rPr>
        <w:t>Que el Estatuto General de la Universidad, en su artículo 14, define al Instituto como “la unidad departamental que realiza investigación con un alto nivel de desarrollo y cuya producción científica cuenta con reconocimiento nacional e internacional”.</w:t>
      </w:r>
    </w:p>
    <w:p w:rsidR="00BC2D02" w:rsidRPr="00BC2D02" w:rsidRDefault="00BC2D02" w:rsidP="00BC2D02">
      <w:pPr>
        <w:spacing w:after="0" w:line="240" w:lineRule="auto"/>
        <w:jc w:val="both"/>
        <w:rPr>
          <w:rFonts w:ascii="AvantGarde Bk BT" w:eastAsia="Times New Roman" w:hAnsi="AvantGarde Bk BT" w:cs="Arial"/>
          <w:lang w:eastAsia="es-ES"/>
        </w:rPr>
      </w:pPr>
    </w:p>
    <w:p w:rsidR="00BC2D02" w:rsidRPr="00BC2D02" w:rsidRDefault="00BC2D02" w:rsidP="00BC2D02">
      <w:pPr>
        <w:numPr>
          <w:ilvl w:val="0"/>
          <w:numId w:val="7"/>
        </w:numPr>
        <w:spacing w:after="0" w:line="240" w:lineRule="auto"/>
        <w:ind w:left="284" w:hanging="284"/>
        <w:jc w:val="both"/>
        <w:rPr>
          <w:rFonts w:ascii="AvantGarde Bk BT" w:eastAsia="Times New Roman" w:hAnsi="AvantGarde Bk BT" w:cs="Arial"/>
          <w:lang w:eastAsia="es-ES"/>
        </w:rPr>
      </w:pPr>
      <w:r w:rsidRPr="00BC2D02">
        <w:rPr>
          <w:rFonts w:ascii="AvantGarde Bk BT" w:eastAsia="Times New Roman" w:hAnsi="AvantGarde Bk BT" w:cs="Arial"/>
          <w:lang w:eastAsia="es-ES"/>
        </w:rPr>
        <w:t>Que en el artículo 65, fracción V de la Ley Orgánica, se establece como atribución de los Colegios Departamentales, la de proponer al Jefe de Departamento de una terna de académicos de carrera con la categoría de titular o, en su defecto, con los de mayor nivel, para la designación del Director del Instituto.</w:t>
      </w:r>
    </w:p>
    <w:p w:rsidR="00BC2D02" w:rsidRPr="00BC2D02" w:rsidRDefault="00BC2D02" w:rsidP="008B4629">
      <w:pPr>
        <w:spacing w:after="0" w:line="240" w:lineRule="auto"/>
        <w:rPr>
          <w:rFonts w:ascii="AvantGarde Bk BT" w:eastAsia="Times New Roman" w:hAnsi="AvantGarde Bk BT" w:cs="Arial"/>
          <w:lang w:eastAsia="es-ES"/>
        </w:rPr>
      </w:pPr>
    </w:p>
    <w:p w:rsidR="00BC2D02" w:rsidRPr="00BC2D02" w:rsidRDefault="00BC2D02" w:rsidP="00BC2D02">
      <w:pPr>
        <w:numPr>
          <w:ilvl w:val="0"/>
          <w:numId w:val="7"/>
        </w:numPr>
        <w:spacing w:after="0" w:line="240" w:lineRule="auto"/>
        <w:jc w:val="both"/>
        <w:rPr>
          <w:rFonts w:ascii="AvantGarde Bk BT" w:eastAsia="Times New Roman" w:hAnsi="AvantGarde Bk BT" w:cs="Arial"/>
          <w:lang w:eastAsia="es-ES"/>
        </w:rPr>
      </w:pPr>
      <w:r w:rsidRPr="00BC2D02">
        <w:rPr>
          <w:rFonts w:ascii="AvantGarde Bk BT" w:eastAsia="Times New Roman" w:hAnsi="AvantGarde Bk BT" w:cs="Arial"/>
          <w:lang w:eastAsia="es-ES"/>
        </w:rPr>
        <w:t>Que el Consejo General Universitario es el máximo órgano de gobierno de esta Casa de Estudios y que es su atribución la de crear dependencias que tiendan a ampliar o mejorar las funciones universitarias, de conformidad con lo establecido por el articulo 28 y la fracción V del artículo 31 de la Ley Orgánica.</w:t>
      </w:r>
    </w:p>
    <w:p w:rsidR="00BC2D02" w:rsidRDefault="00BC2D02">
      <w:pPr>
        <w:rPr>
          <w:rFonts w:ascii="AvantGarde Bk BT" w:eastAsia="Times New Roman" w:hAnsi="AvantGarde Bk BT" w:cs="Arial"/>
          <w:color w:val="0070C0"/>
          <w:lang w:eastAsia="es-ES"/>
        </w:rPr>
      </w:pPr>
      <w:r>
        <w:rPr>
          <w:rFonts w:ascii="AvantGarde Bk BT" w:eastAsia="Times New Roman" w:hAnsi="AvantGarde Bk BT" w:cs="Arial"/>
          <w:color w:val="0070C0"/>
          <w:lang w:eastAsia="es-ES"/>
        </w:rPr>
        <w:br w:type="page"/>
      </w:r>
    </w:p>
    <w:p w:rsidR="00BC2D02" w:rsidRPr="00BC2D02" w:rsidRDefault="00BC2D02" w:rsidP="00BC2D02">
      <w:pPr>
        <w:numPr>
          <w:ilvl w:val="0"/>
          <w:numId w:val="7"/>
        </w:numPr>
        <w:spacing w:after="0" w:line="240" w:lineRule="auto"/>
        <w:jc w:val="both"/>
        <w:rPr>
          <w:rFonts w:ascii="AvantGarde Bk BT" w:eastAsia="Times New Roman" w:hAnsi="AvantGarde Bk BT" w:cs="Arial"/>
          <w:lang w:eastAsia="es-ES"/>
        </w:rPr>
      </w:pPr>
      <w:r w:rsidRPr="00BC2D02">
        <w:rPr>
          <w:rFonts w:ascii="AvantGarde Bk BT" w:eastAsia="Times New Roman" w:hAnsi="AvantGarde Bk BT" w:cs="Arial"/>
          <w:lang w:eastAsia="es-ES"/>
        </w:rPr>
        <w:lastRenderedPageBreak/>
        <w:t>Que conforme lo previsto en el artículo 27 de la Ley Orgánica, el H. Consejo General Universitario funcionará en pleno o por comisiones.</w:t>
      </w:r>
    </w:p>
    <w:p w:rsidR="00BC2D02" w:rsidRPr="00BC2D02" w:rsidRDefault="00BC2D02" w:rsidP="008B4629">
      <w:pPr>
        <w:spacing w:after="0" w:line="240" w:lineRule="auto"/>
        <w:rPr>
          <w:rFonts w:ascii="AvantGarde Bk BT" w:eastAsia="Times New Roman" w:hAnsi="AvantGarde Bk BT" w:cs="Arial"/>
          <w:lang w:eastAsia="es-ES"/>
        </w:rPr>
      </w:pPr>
    </w:p>
    <w:p w:rsidR="00BC2D02" w:rsidRPr="00BC2D02" w:rsidRDefault="00BC2D02" w:rsidP="00BC2D02">
      <w:pPr>
        <w:numPr>
          <w:ilvl w:val="0"/>
          <w:numId w:val="7"/>
        </w:numPr>
        <w:spacing w:after="0" w:line="240" w:lineRule="auto"/>
        <w:jc w:val="both"/>
        <w:rPr>
          <w:rFonts w:ascii="AvantGarde Bk BT" w:eastAsia="Times New Roman" w:hAnsi="AvantGarde Bk BT" w:cs="Arial"/>
          <w:lang w:eastAsia="es-ES"/>
        </w:rPr>
      </w:pPr>
      <w:r w:rsidRPr="00BC2D02">
        <w:rPr>
          <w:rFonts w:ascii="AvantGarde Bk BT" w:eastAsia="Times New Roman" w:hAnsi="AvantGarde Bk BT" w:cs="Arial"/>
          <w:lang w:eastAsia="es-ES"/>
        </w:rPr>
        <w:t>Que es atribución de la Comisión de Educación conocer y dictaminar a cerca de las propuestas de los Consejeros, el Rector General o de los titulares de los Centros, Divisiones y Escuelas, de conformidad con lo establecido en el artículo 85, fracción IV del Estatuto General de la Universidad de Guadalajara.</w:t>
      </w:r>
    </w:p>
    <w:p w:rsidR="00BC2D02" w:rsidRPr="00BC2D02" w:rsidRDefault="00BC2D02" w:rsidP="00BC2D02">
      <w:pPr>
        <w:spacing w:after="0" w:line="240" w:lineRule="auto"/>
        <w:jc w:val="both"/>
        <w:rPr>
          <w:rFonts w:ascii="AvantGarde Bk BT" w:eastAsia="Times New Roman" w:hAnsi="AvantGarde Bk BT" w:cs="Arial"/>
          <w:lang w:eastAsia="es-ES"/>
        </w:rPr>
      </w:pPr>
    </w:p>
    <w:p w:rsidR="00BC2D02" w:rsidRPr="00BC2D02" w:rsidRDefault="00BC2D02" w:rsidP="00BC2D02">
      <w:pPr>
        <w:numPr>
          <w:ilvl w:val="0"/>
          <w:numId w:val="7"/>
        </w:numPr>
        <w:spacing w:after="0" w:line="240" w:lineRule="auto"/>
        <w:jc w:val="both"/>
        <w:rPr>
          <w:rFonts w:ascii="AvantGarde Bk BT" w:eastAsia="Times New Roman" w:hAnsi="AvantGarde Bk BT" w:cs="Arial"/>
          <w:spacing w:val="-2"/>
          <w:lang w:eastAsia="es-ES"/>
        </w:rPr>
      </w:pPr>
      <w:r w:rsidRPr="00BC2D02">
        <w:rPr>
          <w:rFonts w:ascii="AvantGarde Bk BT" w:eastAsia="Times New Roman" w:hAnsi="AvantGarde Bk BT" w:cs="Arial"/>
          <w:lang w:eastAsia="es-ES"/>
        </w:rPr>
        <w:t xml:space="preserve">Que de acuerdo al artículo 86, en su fracción IV del Estatuto General, es atribución de </w:t>
      </w:r>
      <w:smartTag w:uri="urn:schemas-microsoft-com:office:smarttags" w:element="metricconverter">
        <w:smartTagPr>
          <w:attr w:name="ProductID" w:val="La Comisi￳n"/>
        </w:smartTagPr>
        <w:r w:rsidRPr="00BC2D02">
          <w:rPr>
            <w:rFonts w:ascii="AvantGarde Bk BT" w:eastAsia="Times New Roman" w:hAnsi="AvantGarde Bk BT" w:cs="Arial"/>
            <w:lang w:eastAsia="es-ES"/>
          </w:rPr>
          <w:t>la Comisión</w:t>
        </w:r>
      </w:smartTag>
      <w:r w:rsidRPr="00BC2D02">
        <w:rPr>
          <w:rFonts w:ascii="AvantGarde Bk BT" w:eastAsia="Times New Roman" w:hAnsi="AvantGarde Bk BT" w:cs="Arial"/>
          <w:lang w:eastAsia="es-ES"/>
        </w:rPr>
        <w:t xml:space="preserve"> de Hacienda proponer al Consejo General Universitario el proyecto de aranceles y contribuciones de </w:t>
      </w:r>
      <w:smartTag w:uri="urn:schemas-microsoft-com:office:smarttags" w:element="metricconverter">
        <w:smartTagPr>
          <w:attr w:name="ProductID" w:val="la Universidad"/>
        </w:smartTagPr>
        <w:r w:rsidRPr="00BC2D02">
          <w:rPr>
            <w:rFonts w:ascii="AvantGarde Bk BT" w:eastAsia="Times New Roman" w:hAnsi="AvantGarde Bk BT" w:cs="Arial"/>
            <w:lang w:eastAsia="es-ES"/>
          </w:rPr>
          <w:t>la Universidad</w:t>
        </w:r>
      </w:smartTag>
      <w:r w:rsidRPr="00BC2D02">
        <w:rPr>
          <w:rFonts w:ascii="AvantGarde Bk BT" w:eastAsia="Times New Roman" w:hAnsi="AvantGarde Bk BT" w:cs="Arial"/>
          <w:lang w:eastAsia="es-ES"/>
        </w:rPr>
        <w:t xml:space="preserve"> de Guadalajara</w:t>
      </w:r>
      <w:r w:rsidRPr="00BC2D02">
        <w:rPr>
          <w:rFonts w:ascii="AvantGarde Bk BT" w:eastAsia="Times New Roman" w:hAnsi="AvantGarde Bk BT" w:cs="Arial"/>
          <w:spacing w:val="-2"/>
          <w:lang w:eastAsia="es-ES"/>
        </w:rPr>
        <w:t>.</w:t>
      </w:r>
    </w:p>
    <w:p w:rsidR="00BC2D02" w:rsidRPr="00BC2D02" w:rsidRDefault="00BC2D02" w:rsidP="008B4629">
      <w:pPr>
        <w:spacing w:after="0" w:line="240" w:lineRule="auto"/>
        <w:rPr>
          <w:rFonts w:ascii="AvantGarde Bk BT" w:eastAsia="Times New Roman" w:hAnsi="AvantGarde Bk BT" w:cs="Arial"/>
          <w:lang w:eastAsia="es-ES"/>
        </w:rPr>
      </w:pPr>
    </w:p>
    <w:p w:rsidR="00BC2D02" w:rsidRPr="00BC2D02" w:rsidRDefault="00BC2D02" w:rsidP="00BC2D02">
      <w:pPr>
        <w:numPr>
          <w:ilvl w:val="0"/>
          <w:numId w:val="7"/>
        </w:numPr>
        <w:spacing w:after="0" w:line="240" w:lineRule="auto"/>
        <w:jc w:val="both"/>
        <w:rPr>
          <w:rFonts w:ascii="AvantGarde Bk BT" w:eastAsia="Times New Roman" w:hAnsi="AvantGarde Bk BT" w:cs="Times New Roman"/>
          <w:color w:val="000000"/>
          <w:lang w:eastAsia="es-ES"/>
        </w:rPr>
      </w:pPr>
      <w:r w:rsidRPr="00BC2D02">
        <w:rPr>
          <w:rFonts w:ascii="AvantGarde Bk BT" w:eastAsia="Times New Roman" w:hAnsi="AvantGarde Bk BT" w:cs="Times New Roman"/>
          <w:color w:val="000000"/>
          <w:lang w:eastAsia="es-ES"/>
        </w:rPr>
        <w:t>Que de conformidad con el artículo 116, en su fracción VI del Estatuto General, es atribución del Consejo de Centro Universitario proponer la creación, transformación y supresión de Institutos, Centros, Laboratorios y demás unidades departamentales de investigación adscritas al Centro Universitario, con apego a la normatividad aplicable y a los presupuestos autorizados.</w:t>
      </w:r>
    </w:p>
    <w:p w:rsidR="00BC2D02" w:rsidRDefault="00BC2D02" w:rsidP="00BC2D02">
      <w:pPr>
        <w:autoSpaceDE w:val="0"/>
        <w:autoSpaceDN w:val="0"/>
        <w:adjustRightInd w:val="0"/>
        <w:spacing w:after="0" w:line="240" w:lineRule="auto"/>
        <w:ind w:right="18"/>
        <w:jc w:val="both"/>
        <w:rPr>
          <w:rFonts w:ascii="AvantGarde Bk BT" w:eastAsia="Times New Roman" w:hAnsi="AvantGarde Bk BT" w:cs="Times New Roman"/>
          <w:lang w:eastAsia="es-ES"/>
        </w:rPr>
      </w:pPr>
    </w:p>
    <w:p w:rsidR="00BC2D02" w:rsidRPr="00BC2D02" w:rsidRDefault="00BC2D02" w:rsidP="00BC2D02">
      <w:pPr>
        <w:autoSpaceDE w:val="0"/>
        <w:autoSpaceDN w:val="0"/>
        <w:adjustRightInd w:val="0"/>
        <w:spacing w:after="0" w:line="240" w:lineRule="auto"/>
        <w:ind w:right="18"/>
        <w:jc w:val="both"/>
        <w:rPr>
          <w:rFonts w:ascii="AvantGarde Bk BT" w:eastAsia="Times New Roman" w:hAnsi="AvantGarde Bk BT" w:cs="Times New Roman"/>
          <w:lang w:eastAsia="es-ES"/>
        </w:rPr>
      </w:pPr>
      <w:r w:rsidRPr="00BC2D02">
        <w:rPr>
          <w:rFonts w:ascii="AvantGarde Bk BT" w:eastAsia="Times New Roman" w:hAnsi="AvantGarde Bk BT" w:cs="Times New Roman"/>
          <w:lang w:eastAsia="es-ES"/>
        </w:rPr>
        <w:t>Por lo antes expuesto y fundado, estas Comisiones Permanentes Conjuntas de Educación y de Hacienda del H. Consejo General Universitario, tienen a bien proponer los siguientes</w:t>
      </w:r>
    </w:p>
    <w:p w:rsidR="00BC2D02" w:rsidRPr="00BC2D02" w:rsidRDefault="00BC2D02" w:rsidP="00BC2D02">
      <w:pPr>
        <w:autoSpaceDE w:val="0"/>
        <w:autoSpaceDN w:val="0"/>
        <w:adjustRightInd w:val="0"/>
        <w:spacing w:after="0" w:line="240" w:lineRule="auto"/>
        <w:ind w:right="18"/>
        <w:jc w:val="both"/>
        <w:rPr>
          <w:rFonts w:ascii="AvantGarde Bk BT" w:eastAsia="Times New Roman" w:hAnsi="AvantGarde Bk BT" w:cs="Times New Roman"/>
          <w:lang w:eastAsia="es-ES"/>
        </w:rPr>
      </w:pPr>
    </w:p>
    <w:p w:rsidR="00BC2D02" w:rsidRPr="00BC2D02" w:rsidRDefault="00BC2D02" w:rsidP="00BC2D02">
      <w:pPr>
        <w:spacing w:after="0" w:line="240" w:lineRule="auto"/>
        <w:jc w:val="center"/>
        <w:rPr>
          <w:rFonts w:ascii="AvantGarde Bk BT" w:eastAsia="Times New Roman" w:hAnsi="AvantGarde Bk BT" w:cs="Arial"/>
          <w:lang w:val="pt-BR" w:eastAsia="es-ES"/>
        </w:rPr>
      </w:pPr>
      <w:r w:rsidRPr="00BC2D02">
        <w:rPr>
          <w:rFonts w:ascii="AvantGarde Bk BT" w:eastAsia="Times New Roman" w:hAnsi="AvantGarde Bk BT" w:cs="Arial"/>
          <w:lang w:val="pt-BR" w:eastAsia="es-ES"/>
        </w:rPr>
        <w:t>R e s o l u t i v o s:</w:t>
      </w:r>
    </w:p>
    <w:p w:rsidR="00BC2D02" w:rsidRPr="00BC2D02" w:rsidRDefault="00BC2D02" w:rsidP="00BC2D02">
      <w:pPr>
        <w:spacing w:after="0" w:line="240" w:lineRule="auto"/>
        <w:jc w:val="both"/>
        <w:rPr>
          <w:rFonts w:ascii="AvantGarde Bk BT" w:eastAsia="Times New Roman" w:hAnsi="AvantGarde Bk BT" w:cs="Arial"/>
          <w:lang w:val="pt-BR" w:eastAsia="es-ES"/>
        </w:rPr>
      </w:pPr>
    </w:p>
    <w:p w:rsidR="00BC2D02" w:rsidRPr="00BC2D02" w:rsidRDefault="00BC2D02" w:rsidP="00BC2D02">
      <w:pPr>
        <w:spacing w:after="0" w:line="240" w:lineRule="auto"/>
        <w:jc w:val="both"/>
        <w:rPr>
          <w:rFonts w:ascii="AvantGarde Bk BT" w:eastAsia="Times New Roman" w:hAnsi="AvantGarde Bk BT" w:cs="Arial"/>
          <w:lang w:eastAsia="es-ES"/>
        </w:rPr>
      </w:pPr>
      <w:r w:rsidRPr="00BC2D02">
        <w:rPr>
          <w:rFonts w:ascii="AvantGarde Bk BT" w:eastAsia="Times New Roman" w:hAnsi="AvantGarde Bk BT" w:cs="Arial"/>
          <w:b/>
          <w:lang w:val="es-ES" w:eastAsia="es-ES"/>
        </w:rPr>
        <w:t>PRIMERO</w:t>
      </w:r>
      <w:r w:rsidRPr="00BC2D02">
        <w:rPr>
          <w:rFonts w:ascii="AvantGarde Bk BT" w:eastAsia="Times New Roman" w:hAnsi="AvantGarde Bk BT" w:cs="Arial"/>
          <w:lang w:val="es-ES" w:eastAsia="es-ES"/>
        </w:rPr>
        <w:t xml:space="preserve">. </w:t>
      </w:r>
      <w:r w:rsidRPr="00BC2D02">
        <w:rPr>
          <w:rFonts w:ascii="AvantGarde Bk BT" w:eastAsia="Times New Roman" w:hAnsi="AvantGarde Bk BT" w:cs="Times New Roman"/>
          <w:lang w:val="es-ES" w:eastAsia="es-ES"/>
        </w:rPr>
        <w:t xml:space="preserve">Se </w:t>
      </w:r>
      <w:r w:rsidR="008B4629">
        <w:rPr>
          <w:rFonts w:ascii="AvantGarde Bk BT" w:eastAsia="Times New Roman" w:hAnsi="AvantGarde Bk BT" w:cs="Times New Roman"/>
          <w:lang w:val="es-ES" w:eastAsia="es-ES"/>
        </w:rPr>
        <w:t xml:space="preserve">crea </w:t>
      </w:r>
      <w:r w:rsidRPr="00BC2D02">
        <w:rPr>
          <w:rFonts w:ascii="AvantGarde Bk BT" w:eastAsia="Times New Roman" w:hAnsi="AvantGarde Bk BT" w:cs="Times New Roman"/>
          <w:lang w:val="es-ES" w:eastAsia="es-ES"/>
        </w:rPr>
        <w:t xml:space="preserve">el </w:t>
      </w:r>
      <w:r w:rsidRPr="00BC2D02">
        <w:rPr>
          <w:rFonts w:ascii="AvantGarde Bk BT" w:eastAsia="Times New Roman" w:hAnsi="AvantGarde Bk BT" w:cs="Arial"/>
          <w:b/>
          <w:lang w:val="es-ES" w:eastAsia="es-ES"/>
        </w:rPr>
        <w:t xml:space="preserve">Instituto de Neurociencias </w:t>
      </w:r>
      <w:proofErr w:type="spellStart"/>
      <w:r w:rsidRPr="00BC2D02">
        <w:rPr>
          <w:rFonts w:ascii="AvantGarde Bk BT" w:eastAsia="Times New Roman" w:hAnsi="AvantGarde Bk BT" w:cs="Arial"/>
          <w:b/>
          <w:lang w:val="es-ES" w:eastAsia="es-ES"/>
        </w:rPr>
        <w:t>Traslacionales</w:t>
      </w:r>
      <w:proofErr w:type="spellEnd"/>
      <w:r w:rsidRPr="00BC2D02">
        <w:rPr>
          <w:rFonts w:ascii="AvantGarde Bk BT" w:eastAsia="Times New Roman" w:hAnsi="AvantGarde Bk BT" w:cs="Arial"/>
          <w:b/>
          <w:lang w:val="es-ES" w:eastAsia="es-ES"/>
        </w:rPr>
        <w:t xml:space="preserve">, </w:t>
      </w:r>
      <w:r w:rsidRPr="00BC2D02">
        <w:rPr>
          <w:rFonts w:ascii="AvantGarde Bk BT" w:eastAsia="Times New Roman" w:hAnsi="AvantGarde Bk BT" w:cs="Arial"/>
          <w:lang w:val="es-ES" w:eastAsia="es-ES"/>
        </w:rPr>
        <w:t xml:space="preserve">adscrito al Departamento </w:t>
      </w:r>
      <w:r w:rsidRPr="00BC2D02">
        <w:rPr>
          <w:rFonts w:ascii="AvantGarde Bk BT" w:eastAsia="Times New Roman" w:hAnsi="AvantGarde Bk BT" w:cs="Arial"/>
          <w:lang w:eastAsia="es-ES"/>
        </w:rPr>
        <w:t>de Neurociencias, de la División de Disciplinas Básicas para la Salud</w:t>
      </w:r>
      <w:r w:rsidR="00074567">
        <w:rPr>
          <w:rFonts w:ascii="AvantGarde Bk BT" w:eastAsia="Times New Roman" w:hAnsi="AvantGarde Bk BT" w:cs="Arial"/>
          <w:lang w:eastAsia="es-ES"/>
        </w:rPr>
        <w:t xml:space="preserve"> del Centro Universitario de Ciencias de la Salud</w:t>
      </w:r>
      <w:r w:rsidRPr="00BC2D02">
        <w:rPr>
          <w:rFonts w:ascii="AvantGarde Bk BT" w:eastAsia="Times New Roman" w:hAnsi="AvantGarde Bk BT" w:cs="Arial"/>
          <w:lang w:val="es-ES" w:eastAsia="es-ES"/>
        </w:rPr>
        <w:t>, a partir de la aprobación del presente dictamen.</w:t>
      </w:r>
    </w:p>
    <w:p w:rsidR="00BC2D02" w:rsidRPr="00BC2D02" w:rsidRDefault="00BC2D02" w:rsidP="00BC2D02">
      <w:pPr>
        <w:spacing w:after="0" w:line="240" w:lineRule="auto"/>
        <w:jc w:val="both"/>
        <w:rPr>
          <w:rFonts w:ascii="AvantGarde Bk BT" w:eastAsia="Times New Roman" w:hAnsi="AvantGarde Bk BT" w:cs="Arial"/>
          <w:lang w:eastAsia="es-ES"/>
        </w:rPr>
      </w:pPr>
    </w:p>
    <w:p w:rsidR="00BC2D02" w:rsidRPr="00BC2D02" w:rsidRDefault="00BC2D02" w:rsidP="00BC2D02">
      <w:pPr>
        <w:spacing w:after="0" w:line="240" w:lineRule="auto"/>
        <w:jc w:val="both"/>
        <w:rPr>
          <w:rFonts w:ascii="AvantGarde Bk BT" w:eastAsia="Times New Roman" w:hAnsi="AvantGarde Bk BT" w:cs="Arial"/>
          <w:lang w:val="es-ES" w:eastAsia="es-ES"/>
        </w:rPr>
      </w:pPr>
      <w:r w:rsidRPr="00BC2D02">
        <w:rPr>
          <w:rFonts w:ascii="AvantGarde Bk BT" w:eastAsia="Times New Roman" w:hAnsi="AvantGarde Bk BT" w:cs="Arial"/>
          <w:b/>
          <w:lang w:val="es-ES" w:eastAsia="es-ES"/>
        </w:rPr>
        <w:t>SEGUNDO</w:t>
      </w:r>
      <w:r w:rsidRPr="00BC2D02">
        <w:rPr>
          <w:rFonts w:ascii="AvantGarde Bk BT" w:eastAsia="Times New Roman" w:hAnsi="AvantGarde Bk BT" w:cs="Arial"/>
          <w:lang w:val="es-ES" w:eastAsia="es-ES"/>
        </w:rPr>
        <w:t>. El Instituto es una unidad departamental cuyo objetivo principal es propiciar el desarrollo de una instancia académica líder a nivel nacional e internacional en su campo; cuyas actividades de investigación, como función sustantiva, deberán incidir directamente en la obtención de productos originales, que dinamicen y den soluciones a los problemas de salud que afectan tanto la productividad como la calidad de vida de los seres humanos; además de formar recursos humanos de excelencia académica en esta área.</w:t>
      </w:r>
      <w:r w:rsidRPr="00BC2D02">
        <w:rPr>
          <w:rFonts w:ascii="AvantGarde Bk BT" w:eastAsia="Times New Roman" w:hAnsi="AvantGarde Bk BT" w:cs="Arial"/>
          <w:lang w:eastAsia="es-ES"/>
        </w:rPr>
        <w:t xml:space="preserve"> </w:t>
      </w:r>
    </w:p>
    <w:p w:rsidR="00BC2D02" w:rsidRDefault="00BC2D02">
      <w:pPr>
        <w:rPr>
          <w:rFonts w:ascii="AvantGarde Bk BT" w:eastAsia="Times New Roman" w:hAnsi="AvantGarde Bk BT" w:cs="Arial"/>
          <w:lang w:eastAsia="es-ES"/>
        </w:rPr>
      </w:pPr>
      <w:r>
        <w:rPr>
          <w:rFonts w:ascii="AvantGarde Bk BT" w:eastAsia="Times New Roman" w:hAnsi="AvantGarde Bk BT" w:cs="Arial"/>
          <w:lang w:eastAsia="es-ES"/>
        </w:rPr>
        <w:br w:type="page"/>
      </w:r>
    </w:p>
    <w:p w:rsidR="00BC2D02" w:rsidRPr="00BC2D02" w:rsidRDefault="00BC2D02" w:rsidP="00BC2D02">
      <w:pPr>
        <w:spacing w:after="0" w:line="240" w:lineRule="auto"/>
        <w:jc w:val="both"/>
        <w:rPr>
          <w:rFonts w:ascii="AvantGarde Bk BT" w:eastAsia="Times New Roman" w:hAnsi="AvantGarde Bk BT" w:cs="Times New Roman"/>
          <w:lang w:eastAsia="es-ES"/>
        </w:rPr>
      </w:pPr>
      <w:r w:rsidRPr="00BC2D02">
        <w:rPr>
          <w:rFonts w:ascii="AvantGarde Bk BT" w:eastAsia="Times New Roman" w:hAnsi="AvantGarde Bk BT" w:cs="Arial"/>
          <w:b/>
          <w:lang w:eastAsia="es-ES"/>
        </w:rPr>
        <w:lastRenderedPageBreak/>
        <w:t>TERCERO.</w:t>
      </w:r>
      <w:r w:rsidRPr="00BC2D02">
        <w:rPr>
          <w:rFonts w:ascii="AvantGarde Bk BT" w:eastAsia="Times New Roman" w:hAnsi="AvantGarde Bk BT" w:cs="Arial"/>
          <w:lang w:eastAsia="es-ES"/>
        </w:rPr>
        <w:t xml:space="preserve"> El Instituto contará con un Director, mismo que será designado por el Jefe del Departamento de Neurociencias, de conformidad con lo establecido en la fracción V del artículo 65 de la Ley Orgánica y el artículo 147, fracción VI del Estatuto General. </w:t>
      </w:r>
    </w:p>
    <w:p w:rsidR="00BC2D02" w:rsidRPr="00BC2D02" w:rsidRDefault="00BC2D02" w:rsidP="00BC2D02">
      <w:pPr>
        <w:spacing w:after="0" w:line="240" w:lineRule="auto"/>
        <w:jc w:val="both"/>
        <w:rPr>
          <w:rFonts w:ascii="AvantGarde Bk BT" w:eastAsia="Times New Roman" w:hAnsi="AvantGarde Bk BT" w:cs="Times New Roman"/>
          <w:lang w:eastAsia="es-ES"/>
        </w:rPr>
      </w:pPr>
    </w:p>
    <w:p w:rsidR="00BC2D02" w:rsidRPr="00BC2D02" w:rsidRDefault="00BC2D02" w:rsidP="00BC2D02">
      <w:pPr>
        <w:spacing w:after="0" w:line="240" w:lineRule="auto"/>
        <w:jc w:val="both"/>
        <w:rPr>
          <w:rFonts w:ascii="AvantGarde Bk BT" w:eastAsia="Times New Roman" w:hAnsi="AvantGarde Bk BT" w:cs="Times New Roman"/>
          <w:lang w:eastAsia="es-ES"/>
        </w:rPr>
      </w:pPr>
      <w:r w:rsidRPr="00BC2D02">
        <w:rPr>
          <w:rFonts w:ascii="AvantGarde Bk BT" w:eastAsia="Times New Roman" w:hAnsi="AvantGarde Bk BT" w:cs="Times New Roman"/>
          <w:lang w:eastAsia="es-ES"/>
        </w:rPr>
        <w:t>La gestión del primer Director del Instituto iniciará a partir de la ejecución del presente dictamen y hasta el 31 de mayo del año en que haya cambio del Rector del Centro.</w:t>
      </w:r>
    </w:p>
    <w:p w:rsidR="00BC2D02" w:rsidRPr="00BC2D02" w:rsidRDefault="00BC2D02" w:rsidP="00BC2D02">
      <w:pPr>
        <w:spacing w:after="0" w:line="240" w:lineRule="auto"/>
        <w:jc w:val="both"/>
        <w:rPr>
          <w:rFonts w:ascii="AvantGarde Bk BT" w:eastAsia="Times New Roman" w:hAnsi="AvantGarde Bk BT" w:cs="Times New Roman"/>
          <w:lang w:eastAsia="es-ES"/>
        </w:rPr>
      </w:pPr>
    </w:p>
    <w:p w:rsidR="00BC2D02" w:rsidRPr="00BC2D02" w:rsidRDefault="00BC2D02" w:rsidP="00BC2D02">
      <w:pPr>
        <w:spacing w:after="0" w:line="240" w:lineRule="auto"/>
        <w:jc w:val="both"/>
        <w:rPr>
          <w:rFonts w:ascii="AvantGarde Bk BT" w:eastAsia="Times New Roman" w:hAnsi="AvantGarde Bk BT" w:cs="Times New Roman"/>
          <w:lang w:eastAsia="es-ES"/>
        </w:rPr>
      </w:pPr>
      <w:r w:rsidRPr="00BC2D02">
        <w:rPr>
          <w:rFonts w:ascii="AvantGarde Bk BT" w:eastAsia="Times New Roman" w:hAnsi="AvantGarde Bk BT" w:cs="Times New Roman"/>
          <w:lang w:eastAsia="es-ES"/>
        </w:rPr>
        <w:t xml:space="preserve">Serán requisitos para formar parte de la terna los previstos en el artículo 58 del Estatuto Orgánico del Centro Universitario de Ciencias de la Salud. </w:t>
      </w:r>
    </w:p>
    <w:p w:rsidR="00BC2D02" w:rsidRDefault="00BC2D02" w:rsidP="00BC2D02">
      <w:pPr>
        <w:spacing w:after="0" w:line="240" w:lineRule="auto"/>
        <w:jc w:val="both"/>
        <w:rPr>
          <w:rFonts w:ascii="AvantGarde Bk BT" w:eastAsia="Times New Roman" w:hAnsi="AvantGarde Bk BT" w:cs="Times New Roman"/>
          <w:lang w:eastAsia="es-ES"/>
        </w:rPr>
      </w:pPr>
    </w:p>
    <w:p w:rsidR="00156195" w:rsidRDefault="00BC2D02" w:rsidP="00BC2D02">
      <w:pPr>
        <w:spacing w:after="0" w:line="240" w:lineRule="auto"/>
        <w:jc w:val="both"/>
        <w:rPr>
          <w:rFonts w:ascii="AvantGarde Bk BT" w:eastAsia="Times New Roman" w:hAnsi="AvantGarde Bk BT" w:cs="Arial"/>
          <w:lang w:eastAsia="es-ES"/>
        </w:rPr>
      </w:pPr>
      <w:r w:rsidRPr="00BC2D02">
        <w:rPr>
          <w:rFonts w:ascii="AvantGarde Bk BT" w:eastAsia="Times New Roman" w:hAnsi="AvantGarde Bk BT" w:cs="Arial"/>
          <w:b/>
          <w:lang w:eastAsia="es-ES"/>
        </w:rPr>
        <w:t>CUARTO</w:t>
      </w:r>
      <w:r w:rsidRPr="00BC2D02">
        <w:rPr>
          <w:rFonts w:ascii="AvantGarde Bk BT" w:eastAsia="Times New Roman" w:hAnsi="AvantGarde Bk BT" w:cs="Arial"/>
          <w:lang w:eastAsia="es-ES"/>
        </w:rPr>
        <w:t xml:space="preserve">. </w:t>
      </w:r>
      <w:r w:rsidR="00156195" w:rsidRPr="00BC2D02">
        <w:rPr>
          <w:rFonts w:ascii="AvantGarde Bk BT" w:eastAsia="Times New Roman" w:hAnsi="AvantGarde Bk BT" w:cs="Arial"/>
          <w:lang w:eastAsia="es-ES"/>
        </w:rPr>
        <w:t>Considerando que el Director del Instituto se inserta en una forma de organización de trabajo académico del Departamento de Neurociencias</w:t>
      </w:r>
      <w:r w:rsidR="00074567">
        <w:rPr>
          <w:rFonts w:ascii="AvantGarde Bk BT" w:eastAsia="Times New Roman" w:hAnsi="AvantGarde Bk BT" w:cs="Arial"/>
          <w:lang w:eastAsia="es-ES"/>
        </w:rPr>
        <w:t xml:space="preserve"> </w:t>
      </w:r>
      <w:r w:rsidR="00074567" w:rsidRPr="00BC2D02">
        <w:rPr>
          <w:rFonts w:ascii="AvantGarde Bk BT" w:eastAsia="Times New Roman" w:hAnsi="AvantGarde Bk BT" w:cs="Arial"/>
          <w:lang w:eastAsia="es-ES"/>
        </w:rPr>
        <w:t>de la División de Disciplinas Básicas para la Salud</w:t>
      </w:r>
      <w:r w:rsidR="00156195" w:rsidRPr="00BC2D02">
        <w:rPr>
          <w:rFonts w:ascii="AvantGarde Bk BT" w:eastAsia="Times New Roman" w:hAnsi="AvantGarde Bk BT" w:cs="Arial"/>
          <w:lang w:eastAsia="es-ES"/>
        </w:rPr>
        <w:t>, no recibirá remuneración ni compensación alguna por el cargo de la dirección que desempeñe</w:t>
      </w:r>
      <w:r w:rsidR="00A74A42">
        <w:rPr>
          <w:rFonts w:ascii="AvantGarde Bk BT" w:eastAsia="Times New Roman" w:hAnsi="AvantGarde Bk BT" w:cs="Arial"/>
          <w:lang w:eastAsia="es-ES"/>
        </w:rPr>
        <w:t>.</w:t>
      </w:r>
    </w:p>
    <w:p w:rsidR="00156195" w:rsidRDefault="00156195" w:rsidP="00BC2D02">
      <w:pPr>
        <w:spacing w:after="0" w:line="240" w:lineRule="auto"/>
        <w:jc w:val="both"/>
        <w:rPr>
          <w:rFonts w:ascii="AvantGarde Bk BT" w:eastAsia="Times New Roman" w:hAnsi="AvantGarde Bk BT" w:cs="Arial"/>
          <w:lang w:eastAsia="es-ES"/>
        </w:rPr>
      </w:pPr>
    </w:p>
    <w:p w:rsidR="00BC2D02" w:rsidRPr="00BC2D02" w:rsidRDefault="00156195" w:rsidP="00BC2D02">
      <w:pPr>
        <w:spacing w:after="0" w:line="240" w:lineRule="auto"/>
        <w:jc w:val="both"/>
        <w:rPr>
          <w:rFonts w:ascii="AvantGarde Bk BT" w:eastAsia="Times New Roman" w:hAnsi="AvantGarde Bk BT" w:cs="Arial"/>
          <w:lang w:eastAsia="es-ES"/>
        </w:rPr>
      </w:pPr>
      <w:r w:rsidRPr="00156195">
        <w:rPr>
          <w:rFonts w:ascii="AvantGarde Bk BT" w:eastAsia="Times New Roman" w:hAnsi="AvantGarde Bk BT" w:cs="Arial"/>
          <w:b/>
          <w:lang w:eastAsia="es-ES"/>
        </w:rPr>
        <w:t>QUINTO</w:t>
      </w:r>
      <w:r>
        <w:rPr>
          <w:rFonts w:ascii="AvantGarde Bk BT" w:eastAsia="Times New Roman" w:hAnsi="AvantGarde Bk BT" w:cs="Arial"/>
          <w:lang w:eastAsia="es-ES"/>
        </w:rPr>
        <w:t xml:space="preserve">. </w:t>
      </w:r>
      <w:r w:rsidR="00BC2D02" w:rsidRPr="00BC2D02">
        <w:rPr>
          <w:rFonts w:ascii="AvantGarde Bk BT" w:eastAsia="Times New Roman" w:hAnsi="AvantGarde Bk BT" w:cs="Arial"/>
          <w:lang w:eastAsia="es-ES"/>
        </w:rPr>
        <w:t xml:space="preserve">El Instituto estará ubicado físicamente en las instalaciones del Departamento de Neurociencias </w:t>
      </w:r>
      <w:r w:rsidR="00074567" w:rsidRPr="00BC2D02">
        <w:rPr>
          <w:rFonts w:ascii="AvantGarde Bk BT" w:eastAsia="Times New Roman" w:hAnsi="AvantGarde Bk BT" w:cs="Arial"/>
          <w:lang w:eastAsia="es-ES"/>
        </w:rPr>
        <w:t>de la División de Disciplinas Básicas para la Salud</w:t>
      </w:r>
      <w:r w:rsidR="00074567">
        <w:rPr>
          <w:rFonts w:ascii="AvantGarde Bk BT" w:eastAsia="Times New Roman" w:hAnsi="AvantGarde Bk BT" w:cs="Arial"/>
          <w:lang w:eastAsia="es-ES"/>
        </w:rPr>
        <w:t xml:space="preserve"> </w:t>
      </w:r>
      <w:r w:rsidR="00BC2D02" w:rsidRPr="00BC2D02">
        <w:rPr>
          <w:rFonts w:ascii="AvantGarde Bk BT" w:eastAsia="Times New Roman" w:hAnsi="AvantGarde Bk BT" w:cs="Arial"/>
          <w:lang w:eastAsia="es-ES"/>
        </w:rPr>
        <w:t>del Centro Universitario de Ciencias de la Salud y el Director será responsable de que la organización interna atienda los requerimientos de revisiones o auditorías que se practiquen.</w:t>
      </w:r>
    </w:p>
    <w:p w:rsidR="00BC2D02" w:rsidRPr="00BC2D02" w:rsidRDefault="00BC2D02" w:rsidP="00156195">
      <w:pPr>
        <w:spacing w:after="0" w:line="240" w:lineRule="auto"/>
        <w:jc w:val="both"/>
        <w:rPr>
          <w:rFonts w:ascii="AvantGarde Bk BT" w:eastAsia="Times New Roman" w:hAnsi="AvantGarde Bk BT" w:cs="Arial"/>
          <w:lang w:eastAsia="es-ES"/>
        </w:rPr>
      </w:pPr>
    </w:p>
    <w:p w:rsidR="00BC2D02" w:rsidRPr="00BC2D02" w:rsidRDefault="00156195" w:rsidP="00BC2D02">
      <w:pPr>
        <w:spacing w:after="0" w:line="240" w:lineRule="auto"/>
        <w:jc w:val="both"/>
        <w:rPr>
          <w:rFonts w:ascii="AvantGarde Bk BT" w:eastAsia="Times New Roman" w:hAnsi="AvantGarde Bk BT" w:cs="Arial"/>
          <w:lang w:eastAsia="es-ES"/>
        </w:rPr>
      </w:pPr>
      <w:r>
        <w:rPr>
          <w:rFonts w:ascii="AvantGarde Bk BT" w:eastAsia="Times New Roman" w:hAnsi="AvantGarde Bk BT" w:cs="Arial"/>
          <w:b/>
          <w:lang w:eastAsia="es-ES"/>
        </w:rPr>
        <w:t>SEXTO</w:t>
      </w:r>
      <w:r w:rsidR="00BC2D02" w:rsidRPr="00BC2D02">
        <w:rPr>
          <w:rFonts w:ascii="AvantGarde Bk BT" w:eastAsia="Times New Roman" w:hAnsi="AvantGarde Bk BT" w:cs="Arial"/>
          <w:lang w:eastAsia="es-ES"/>
        </w:rPr>
        <w:t xml:space="preserve">. El Instituto contará con los instrumentos de planeación, programación y evaluación y tendrá sus propias fuentes de financiamiento para la investigación, programas y proyectos. Estará incorporado al techo presupuestal del Departamento de Neurociencias de la División de Disciplinas Básicas para la Salud del Centro Universitario de Ciencias de la Salud. </w:t>
      </w:r>
    </w:p>
    <w:p w:rsidR="00BC2D02" w:rsidRDefault="00BC2D02">
      <w:pPr>
        <w:rPr>
          <w:rFonts w:ascii="AvantGarde Bk BT" w:eastAsia="Times New Roman" w:hAnsi="AvantGarde Bk BT" w:cs="Arial"/>
          <w:lang w:eastAsia="es-ES"/>
        </w:rPr>
      </w:pPr>
      <w:r>
        <w:rPr>
          <w:rFonts w:ascii="AvantGarde Bk BT" w:eastAsia="Times New Roman" w:hAnsi="AvantGarde Bk BT" w:cs="Arial"/>
          <w:lang w:eastAsia="es-ES"/>
        </w:rPr>
        <w:br w:type="page"/>
      </w:r>
    </w:p>
    <w:p w:rsidR="00BC2D02" w:rsidRPr="00BC2D02" w:rsidRDefault="00BC2D02" w:rsidP="00BC2D02">
      <w:pPr>
        <w:spacing w:after="0" w:line="240" w:lineRule="auto"/>
        <w:jc w:val="both"/>
        <w:rPr>
          <w:rFonts w:ascii="AvantGarde Bk BT" w:eastAsia="Times New Roman" w:hAnsi="AvantGarde Bk BT" w:cs="Arial"/>
          <w:lang w:eastAsia="es-ES"/>
        </w:rPr>
      </w:pPr>
      <w:r w:rsidRPr="00BC2D02">
        <w:rPr>
          <w:rFonts w:ascii="AvantGarde Bk BT" w:eastAsia="Times New Roman" w:hAnsi="AvantGarde Bk BT" w:cs="Arial"/>
          <w:b/>
          <w:lang w:eastAsia="es-ES"/>
        </w:rPr>
        <w:lastRenderedPageBreak/>
        <w:t>SÉPTIMO</w:t>
      </w:r>
      <w:r w:rsidRPr="00BC2D02">
        <w:rPr>
          <w:rFonts w:ascii="AvantGarde Bk BT" w:eastAsia="Times New Roman" w:hAnsi="AvantGarde Bk BT" w:cs="Arial"/>
          <w:lang w:eastAsia="es-ES"/>
        </w:rPr>
        <w:t>. Facúltese al Rector General para que se ejecute el presente Dictamen en los términos del artículo 35, fracción II de la  Ley Orgánica Universitaria.</w:t>
      </w:r>
    </w:p>
    <w:p w:rsidR="00BC2D02" w:rsidRPr="00BC2D02" w:rsidRDefault="00BC2D02" w:rsidP="00BC2D02">
      <w:pPr>
        <w:spacing w:after="0" w:line="240" w:lineRule="auto"/>
        <w:rPr>
          <w:rFonts w:ascii="AvantGarde Bk BT" w:hAnsi="AvantGarde Bk BT" w:cs="Arial"/>
        </w:rPr>
      </w:pPr>
    </w:p>
    <w:p w:rsidR="00BC2D02" w:rsidRPr="00BC2D02" w:rsidRDefault="00BC2D02" w:rsidP="00BC2D02">
      <w:pPr>
        <w:spacing w:after="0" w:line="240" w:lineRule="auto"/>
        <w:jc w:val="center"/>
        <w:rPr>
          <w:rFonts w:ascii="AvantGarde Bk BT" w:hAnsi="AvantGarde Bk BT" w:cs="Arial"/>
        </w:rPr>
      </w:pPr>
      <w:r w:rsidRPr="00BC2D02">
        <w:rPr>
          <w:rFonts w:ascii="AvantGarde Bk BT" w:hAnsi="AvantGarde Bk BT" w:cs="Arial"/>
        </w:rPr>
        <w:t>A t e n t a m e n t e</w:t>
      </w:r>
    </w:p>
    <w:p w:rsidR="00BC2D02" w:rsidRPr="00BC2D02" w:rsidRDefault="00BC2D02" w:rsidP="00BC2D02">
      <w:pPr>
        <w:spacing w:after="0" w:line="240" w:lineRule="auto"/>
        <w:jc w:val="center"/>
        <w:rPr>
          <w:rFonts w:ascii="AvantGarde Bk BT" w:hAnsi="AvantGarde Bk BT" w:cs="Arial"/>
        </w:rPr>
      </w:pPr>
      <w:r w:rsidRPr="00BC2D02">
        <w:rPr>
          <w:rFonts w:ascii="AvantGarde Bk BT" w:hAnsi="AvantGarde Bk BT" w:cs="Arial"/>
        </w:rPr>
        <w:t>"PIENSA Y TRABAJA"</w:t>
      </w:r>
    </w:p>
    <w:p w:rsidR="00BC2D02" w:rsidRPr="00BC2D02" w:rsidRDefault="00BC2D02" w:rsidP="00BC2D02">
      <w:pPr>
        <w:spacing w:after="0" w:line="240" w:lineRule="auto"/>
        <w:jc w:val="center"/>
        <w:rPr>
          <w:rFonts w:ascii="AvantGarde Bk BT" w:hAnsi="AvantGarde Bk BT" w:cs="Arial"/>
        </w:rPr>
      </w:pPr>
      <w:r w:rsidRPr="00BC2D02">
        <w:rPr>
          <w:rFonts w:ascii="AvantGarde Bk BT" w:hAnsi="AvantGarde Bk BT" w:cs="Arial"/>
        </w:rPr>
        <w:t xml:space="preserve">Guadalajara, Jal., </w:t>
      </w:r>
      <w:r w:rsidR="0031024C">
        <w:rPr>
          <w:rFonts w:ascii="AvantGarde Bk BT" w:hAnsi="AvantGarde Bk BT" w:cs="Arial"/>
        </w:rPr>
        <w:t>24 de abril</w:t>
      </w:r>
      <w:r w:rsidRPr="00BC2D02">
        <w:rPr>
          <w:rFonts w:ascii="AvantGarde Bk BT" w:hAnsi="AvantGarde Bk BT" w:cs="Arial"/>
        </w:rPr>
        <w:t xml:space="preserve"> de 2015</w:t>
      </w:r>
    </w:p>
    <w:p w:rsidR="00BC2D02" w:rsidRPr="00BC2D02" w:rsidRDefault="00BC2D02" w:rsidP="00BC2D02">
      <w:pPr>
        <w:spacing w:after="0" w:line="240" w:lineRule="auto"/>
        <w:jc w:val="center"/>
        <w:rPr>
          <w:rFonts w:ascii="AvantGarde Bk BT" w:hAnsi="AvantGarde Bk BT" w:cs="Arial"/>
        </w:rPr>
      </w:pPr>
      <w:r w:rsidRPr="00BC2D02">
        <w:rPr>
          <w:rFonts w:ascii="AvantGarde Bk BT" w:hAnsi="AvantGarde Bk BT" w:cs="Arial"/>
        </w:rPr>
        <w:t>Comisiones Permanentes Conjuntas de Educación y de Hacienda</w:t>
      </w:r>
    </w:p>
    <w:p w:rsidR="00BC2D02" w:rsidRPr="00BC2D02" w:rsidRDefault="00BC2D02" w:rsidP="00BC2D02">
      <w:pPr>
        <w:spacing w:after="0" w:line="240" w:lineRule="auto"/>
        <w:jc w:val="center"/>
        <w:rPr>
          <w:rFonts w:ascii="AvantGarde Bk BT" w:hAnsi="AvantGarde Bk BT" w:cs="Arial"/>
        </w:rPr>
      </w:pPr>
    </w:p>
    <w:p w:rsidR="00BC2D02" w:rsidRPr="00BC2D02" w:rsidRDefault="00BC2D02" w:rsidP="00BC2D02">
      <w:pPr>
        <w:spacing w:after="0" w:line="240" w:lineRule="auto"/>
        <w:jc w:val="center"/>
        <w:rPr>
          <w:rFonts w:ascii="AvantGarde Bk BT" w:hAnsi="AvantGarde Bk BT" w:cs="Arial"/>
        </w:rPr>
      </w:pPr>
    </w:p>
    <w:p w:rsidR="00BC2D02" w:rsidRPr="00BC2D02" w:rsidRDefault="00BC2D02" w:rsidP="00BC2D02">
      <w:pPr>
        <w:spacing w:after="0" w:line="240" w:lineRule="auto"/>
        <w:jc w:val="center"/>
        <w:rPr>
          <w:rFonts w:ascii="AvantGarde Bk BT" w:eastAsia="Times New Roman" w:hAnsi="AvantGarde Bk BT" w:cs="Times New Roman"/>
          <w:b/>
          <w:bCs/>
          <w:lang w:eastAsia="es-ES"/>
        </w:rPr>
      </w:pPr>
    </w:p>
    <w:p w:rsidR="00BC2D02" w:rsidRPr="00BC2D02" w:rsidRDefault="00BC2D02" w:rsidP="00BC2D02">
      <w:pPr>
        <w:spacing w:after="0" w:line="240" w:lineRule="auto"/>
        <w:jc w:val="center"/>
        <w:rPr>
          <w:rFonts w:ascii="AvantGarde Bk BT" w:eastAsia="Times New Roman" w:hAnsi="AvantGarde Bk BT" w:cs="Times New Roman"/>
          <w:b/>
          <w:bCs/>
          <w:lang w:eastAsia="es-MX"/>
        </w:rPr>
      </w:pPr>
      <w:r w:rsidRPr="00BC2D02">
        <w:rPr>
          <w:rFonts w:ascii="AvantGarde Bk BT" w:eastAsia="Times New Roman" w:hAnsi="AvantGarde Bk BT" w:cs="Times New Roman"/>
          <w:b/>
          <w:bCs/>
          <w:lang w:eastAsia="es-ES"/>
        </w:rPr>
        <w:t>Mtro. Itzcóatl Tonatiuh Bravo Padilla</w:t>
      </w:r>
    </w:p>
    <w:p w:rsidR="00BC2D02" w:rsidRPr="00BC2D02" w:rsidRDefault="00BC2D02" w:rsidP="00BC2D02">
      <w:pPr>
        <w:spacing w:after="0" w:line="240" w:lineRule="auto"/>
        <w:jc w:val="center"/>
        <w:rPr>
          <w:rFonts w:ascii="AvantGarde Bk BT" w:eastAsia="Times New Roman" w:hAnsi="AvantGarde Bk BT" w:cs="Times New Roman"/>
          <w:lang w:eastAsia="es-ES"/>
        </w:rPr>
      </w:pPr>
      <w:r w:rsidRPr="00BC2D02">
        <w:rPr>
          <w:rFonts w:ascii="AvantGarde Bk BT" w:eastAsia="Times New Roman" w:hAnsi="AvantGarde Bk BT" w:cs="Times New Roman"/>
          <w:lang w:eastAsia="es-ES"/>
        </w:rPr>
        <w:t>Presidente</w:t>
      </w:r>
    </w:p>
    <w:tbl>
      <w:tblPr>
        <w:tblW w:w="0" w:type="auto"/>
        <w:jc w:val="center"/>
        <w:tblCellMar>
          <w:left w:w="0" w:type="dxa"/>
          <w:right w:w="0" w:type="dxa"/>
        </w:tblCellMar>
        <w:tblLook w:val="04A0" w:firstRow="1" w:lastRow="0" w:firstColumn="1" w:lastColumn="0" w:noHBand="0" w:noVBand="1"/>
      </w:tblPr>
      <w:tblGrid>
        <w:gridCol w:w="4370"/>
        <w:gridCol w:w="5050"/>
      </w:tblGrid>
      <w:tr w:rsidR="00BC2D02" w:rsidRPr="00BC2D02" w:rsidTr="00355164">
        <w:trPr>
          <w:jc w:val="center"/>
        </w:trPr>
        <w:tc>
          <w:tcPr>
            <w:tcW w:w="4370" w:type="dxa"/>
            <w:tcMar>
              <w:top w:w="0" w:type="dxa"/>
              <w:left w:w="108" w:type="dxa"/>
              <w:bottom w:w="0" w:type="dxa"/>
              <w:right w:w="108" w:type="dxa"/>
            </w:tcMar>
            <w:vAlign w:val="center"/>
          </w:tcPr>
          <w:p w:rsidR="00BC2D02" w:rsidRPr="00BC2D02" w:rsidRDefault="00BC2D02" w:rsidP="00BC2D02">
            <w:pPr>
              <w:tabs>
                <w:tab w:val="left" w:pos="426"/>
              </w:tabs>
              <w:spacing w:after="0" w:line="240" w:lineRule="auto"/>
              <w:jc w:val="center"/>
              <w:rPr>
                <w:rFonts w:ascii="AvantGarde Bk BT" w:eastAsia="Times New Roman" w:hAnsi="AvantGarde Bk BT" w:cs="Times New Roman"/>
                <w:lang w:eastAsia="es-ES"/>
              </w:rPr>
            </w:pPr>
          </w:p>
          <w:p w:rsidR="00BC2D02" w:rsidRPr="00BC2D02" w:rsidRDefault="00BC2D02" w:rsidP="00BC2D02">
            <w:pPr>
              <w:tabs>
                <w:tab w:val="left" w:pos="426"/>
              </w:tabs>
              <w:spacing w:after="0" w:line="240" w:lineRule="auto"/>
              <w:jc w:val="center"/>
              <w:rPr>
                <w:rFonts w:ascii="AvantGarde Bk BT" w:eastAsia="Times New Roman" w:hAnsi="AvantGarde Bk BT" w:cs="Times New Roman"/>
                <w:lang w:eastAsia="es-ES"/>
              </w:rPr>
            </w:pPr>
          </w:p>
          <w:p w:rsidR="00BC2D02" w:rsidRPr="00BC2D02" w:rsidRDefault="00BC2D02" w:rsidP="00BC2D02">
            <w:pPr>
              <w:tabs>
                <w:tab w:val="left" w:pos="426"/>
              </w:tabs>
              <w:spacing w:after="0" w:line="240" w:lineRule="auto"/>
              <w:jc w:val="center"/>
              <w:rPr>
                <w:rFonts w:ascii="AvantGarde Bk BT" w:eastAsia="Times New Roman" w:hAnsi="AvantGarde Bk BT" w:cs="Times New Roman"/>
                <w:lang w:eastAsia="es-ES"/>
              </w:rPr>
            </w:pPr>
          </w:p>
          <w:p w:rsidR="00BC2D02" w:rsidRPr="00BC2D02" w:rsidRDefault="00BC2D02" w:rsidP="00BC2D02">
            <w:pPr>
              <w:tabs>
                <w:tab w:val="left" w:pos="426"/>
              </w:tabs>
              <w:spacing w:after="0" w:line="240" w:lineRule="auto"/>
              <w:jc w:val="center"/>
              <w:rPr>
                <w:rFonts w:ascii="AvantGarde Bk BT" w:eastAsia="Times New Roman" w:hAnsi="AvantGarde Bk BT" w:cs="Times New Roman"/>
                <w:lang w:eastAsia="es-ES"/>
              </w:rPr>
            </w:pPr>
            <w:r w:rsidRPr="00BC2D02">
              <w:rPr>
                <w:rFonts w:ascii="AvantGarde Bk BT" w:eastAsia="Times New Roman" w:hAnsi="AvantGarde Bk BT" w:cs="Times New Roman"/>
                <w:lang w:eastAsia="es-ES"/>
              </w:rPr>
              <w:t>Dr. Héctor Raúl Solís Gadea</w:t>
            </w:r>
          </w:p>
        </w:tc>
        <w:tc>
          <w:tcPr>
            <w:tcW w:w="5050" w:type="dxa"/>
            <w:tcMar>
              <w:top w:w="0" w:type="dxa"/>
              <w:left w:w="108" w:type="dxa"/>
              <w:bottom w:w="0" w:type="dxa"/>
              <w:right w:w="108" w:type="dxa"/>
            </w:tcMar>
            <w:vAlign w:val="center"/>
          </w:tcPr>
          <w:p w:rsidR="00BC2D02" w:rsidRPr="00BC2D02" w:rsidRDefault="00BC2D02" w:rsidP="00BC2D02">
            <w:pPr>
              <w:spacing w:after="0" w:line="240" w:lineRule="auto"/>
              <w:jc w:val="center"/>
              <w:rPr>
                <w:rFonts w:ascii="AvantGarde Bk BT" w:eastAsia="Times New Roman" w:hAnsi="AvantGarde Bk BT" w:cs="Times New Roman"/>
                <w:lang w:eastAsia="es-ES"/>
              </w:rPr>
            </w:pPr>
          </w:p>
          <w:p w:rsidR="00BC2D02" w:rsidRPr="00BC2D02" w:rsidRDefault="00BC2D02" w:rsidP="00BC2D02">
            <w:pPr>
              <w:spacing w:after="0" w:line="240" w:lineRule="auto"/>
              <w:jc w:val="center"/>
              <w:rPr>
                <w:rFonts w:ascii="AvantGarde Bk BT" w:eastAsia="Times New Roman" w:hAnsi="AvantGarde Bk BT" w:cs="Times New Roman"/>
                <w:lang w:eastAsia="es-ES"/>
              </w:rPr>
            </w:pPr>
          </w:p>
          <w:p w:rsidR="00BC2D02" w:rsidRPr="00BC2D02" w:rsidRDefault="00BC2D02" w:rsidP="00BC2D02">
            <w:pPr>
              <w:spacing w:after="0" w:line="240" w:lineRule="auto"/>
              <w:jc w:val="center"/>
              <w:rPr>
                <w:rFonts w:ascii="AvantGarde Bk BT" w:eastAsia="Times New Roman" w:hAnsi="AvantGarde Bk BT" w:cs="Times New Roman"/>
                <w:lang w:eastAsia="es-ES"/>
              </w:rPr>
            </w:pPr>
          </w:p>
          <w:p w:rsidR="00BC2D02" w:rsidRPr="00BC2D02" w:rsidRDefault="00BC2D02" w:rsidP="00BC2D02">
            <w:pPr>
              <w:spacing w:after="0" w:line="240" w:lineRule="auto"/>
              <w:jc w:val="center"/>
              <w:rPr>
                <w:rFonts w:ascii="AvantGarde Bk BT" w:eastAsia="Times New Roman" w:hAnsi="AvantGarde Bk BT" w:cs="Times New Roman"/>
                <w:lang w:eastAsia="es-ES"/>
              </w:rPr>
            </w:pPr>
            <w:r w:rsidRPr="00BC2D02">
              <w:rPr>
                <w:rFonts w:ascii="AvantGarde Bk BT" w:eastAsia="Times New Roman" w:hAnsi="AvantGarde Bk BT" w:cs="Times New Roman"/>
                <w:lang w:eastAsia="es-ES"/>
              </w:rPr>
              <w:t>Dra. Ruth Padilla Muñoz</w:t>
            </w:r>
          </w:p>
        </w:tc>
      </w:tr>
      <w:tr w:rsidR="00BC2D02" w:rsidRPr="00BC2D02" w:rsidTr="00355164">
        <w:trPr>
          <w:jc w:val="center"/>
        </w:trPr>
        <w:tc>
          <w:tcPr>
            <w:tcW w:w="4370" w:type="dxa"/>
            <w:tcMar>
              <w:top w:w="0" w:type="dxa"/>
              <w:left w:w="108" w:type="dxa"/>
              <w:bottom w:w="0" w:type="dxa"/>
              <w:right w:w="108" w:type="dxa"/>
            </w:tcMar>
          </w:tcPr>
          <w:p w:rsidR="00BC2D02" w:rsidRPr="00BC2D02" w:rsidRDefault="00BC2D02" w:rsidP="00BC2D02">
            <w:pPr>
              <w:tabs>
                <w:tab w:val="left" w:pos="426"/>
              </w:tabs>
              <w:spacing w:after="0" w:line="240" w:lineRule="auto"/>
              <w:ind w:left="426"/>
              <w:jc w:val="center"/>
              <w:rPr>
                <w:rFonts w:ascii="AvantGarde Bk BT" w:eastAsia="Times New Roman" w:hAnsi="AvantGarde Bk BT" w:cs="Times New Roman"/>
                <w:lang w:eastAsia="es-ES"/>
              </w:rPr>
            </w:pPr>
          </w:p>
          <w:p w:rsidR="00BC2D02" w:rsidRPr="00BC2D02" w:rsidRDefault="00BC2D02" w:rsidP="00BC2D02">
            <w:pPr>
              <w:tabs>
                <w:tab w:val="left" w:pos="426"/>
              </w:tabs>
              <w:spacing w:after="0" w:line="240" w:lineRule="auto"/>
              <w:ind w:left="426"/>
              <w:jc w:val="center"/>
              <w:rPr>
                <w:rFonts w:ascii="AvantGarde Bk BT" w:eastAsia="Times New Roman" w:hAnsi="AvantGarde Bk BT" w:cs="Times New Roman"/>
                <w:lang w:eastAsia="es-ES"/>
              </w:rPr>
            </w:pPr>
          </w:p>
          <w:p w:rsidR="00BC2D02" w:rsidRPr="00BC2D02" w:rsidRDefault="00BC2D02" w:rsidP="00BC2D02">
            <w:pPr>
              <w:tabs>
                <w:tab w:val="left" w:pos="426"/>
              </w:tabs>
              <w:spacing w:after="0" w:line="240" w:lineRule="auto"/>
              <w:ind w:left="426"/>
              <w:jc w:val="center"/>
              <w:rPr>
                <w:rFonts w:ascii="AvantGarde Bk BT" w:eastAsia="Times New Roman" w:hAnsi="AvantGarde Bk BT" w:cs="Times New Roman"/>
                <w:lang w:eastAsia="es-ES"/>
              </w:rPr>
            </w:pPr>
          </w:p>
          <w:p w:rsidR="00BC2D02" w:rsidRPr="00BC2D02" w:rsidRDefault="00BC2D02" w:rsidP="00BC2D02">
            <w:pPr>
              <w:tabs>
                <w:tab w:val="left" w:pos="426"/>
              </w:tabs>
              <w:spacing w:after="0" w:line="240" w:lineRule="auto"/>
              <w:ind w:left="426"/>
              <w:jc w:val="center"/>
              <w:rPr>
                <w:rFonts w:ascii="AvantGarde Bk BT" w:eastAsia="Times New Roman" w:hAnsi="AvantGarde Bk BT" w:cs="Times New Roman"/>
                <w:lang w:eastAsia="es-ES"/>
              </w:rPr>
            </w:pPr>
            <w:r w:rsidRPr="00BC2D02">
              <w:rPr>
                <w:rFonts w:ascii="AvantGarde Bk BT" w:eastAsia="Times New Roman" w:hAnsi="AvantGarde Bk BT" w:cs="Times New Roman"/>
                <w:lang w:eastAsia="es-ES"/>
              </w:rPr>
              <w:t>Dra. Leticia Leal Moya</w:t>
            </w:r>
          </w:p>
        </w:tc>
        <w:tc>
          <w:tcPr>
            <w:tcW w:w="5050" w:type="dxa"/>
            <w:tcMar>
              <w:top w:w="0" w:type="dxa"/>
              <w:left w:w="108" w:type="dxa"/>
              <w:bottom w:w="0" w:type="dxa"/>
              <w:right w:w="108" w:type="dxa"/>
            </w:tcMar>
          </w:tcPr>
          <w:p w:rsidR="00BC2D02" w:rsidRPr="00BC2D02" w:rsidRDefault="00BC2D02" w:rsidP="00BC2D02">
            <w:pPr>
              <w:tabs>
                <w:tab w:val="left" w:pos="426"/>
              </w:tabs>
              <w:spacing w:after="0" w:line="240" w:lineRule="auto"/>
              <w:ind w:left="426"/>
              <w:jc w:val="center"/>
              <w:rPr>
                <w:rFonts w:ascii="AvantGarde Bk BT" w:eastAsia="Times New Roman" w:hAnsi="AvantGarde Bk BT" w:cs="Times New Roman"/>
                <w:lang w:eastAsia="es-ES"/>
              </w:rPr>
            </w:pPr>
          </w:p>
          <w:p w:rsidR="00BC2D02" w:rsidRPr="00BC2D02" w:rsidRDefault="00BC2D02" w:rsidP="00BC2D02">
            <w:pPr>
              <w:tabs>
                <w:tab w:val="left" w:pos="426"/>
              </w:tabs>
              <w:spacing w:after="0" w:line="240" w:lineRule="auto"/>
              <w:ind w:left="426"/>
              <w:jc w:val="center"/>
              <w:rPr>
                <w:rFonts w:ascii="AvantGarde Bk BT" w:eastAsia="Times New Roman" w:hAnsi="AvantGarde Bk BT" w:cs="Times New Roman"/>
                <w:lang w:eastAsia="es-ES"/>
              </w:rPr>
            </w:pPr>
          </w:p>
          <w:p w:rsidR="00BC2D02" w:rsidRPr="00BC2D02" w:rsidRDefault="00BC2D02" w:rsidP="00BC2D02">
            <w:pPr>
              <w:tabs>
                <w:tab w:val="left" w:pos="426"/>
              </w:tabs>
              <w:spacing w:after="0" w:line="240" w:lineRule="auto"/>
              <w:ind w:left="426"/>
              <w:jc w:val="center"/>
              <w:rPr>
                <w:rFonts w:ascii="AvantGarde Bk BT" w:eastAsia="Times New Roman" w:hAnsi="AvantGarde Bk BT" w:cs="Times New Roman"/>
                <w:lang w:eastAsia="es-ES"/>
              </w:rPr>
            </w:pPr>
          </w:p>
          <w:p w:rsidR="00BC2D02" w:rsidRPr="00BC2D02" w:rsidRDefault="00BC2D02" w:rsidP="00BC2D02">
            <w:pPr>
              <w:tabs>
                <w:tab w:val="left" w:pos="426"/>
              </w:tabs>
              <w:spacing w:after="0" w:line="240" w:lineRule="auto"/>
              <w:ind w:left="426"/>
              <w:jc w:val="center"/>
              <w:rPr>
                <w:rFonts w:ascii="AvantGarde Bk BT" w:eastAsia="Times New Roman" w:hAnsi="AvantGarde Bk BT" w:cs="Times New Roman"/>
                <w:lang w:eastAsia="es-ES"/>
              </w:rPr>
            </w:pPr>
            <w:r w:rsidRPr="00BC2D02">
              <w:rPr>
                <w:rFonts w:ascii="AvantGarde Bk BT" w:eastAsia="Times New Roman" w:hAnsi="AvantGarde Bk BT" w:cs="Times New Roman"/>
                <w:lang w:eastAsia="es-ES"/>
              </w:rPr>
              <w:t>Mtro. José Alberto Castellanos Gutiérrez</w:t>
            </w:r>
          </w:p>
        </w:tc>
      </w:tr>
      <w:tr w:rsidR="00BC2D02" w:rsidRPr="00BC2D02" w:rsidTr="00355164">
        <w:trPr>
          <w:jc w:val="center"/>
        </w:trPr>
        <w:tc>
          <w:tcPr>
            <w:tcW w:w="4370" w:type="dxa"/>
            <w:tcMar>
              <w:top w:w="0" w:type="dxa"/>
              <w:left w:w="108" w:type="dxa"/>
              <w:bottom w:w="0" w:type="dxa"/>
              <w:right w:w="108" w:type="dxa"/>
            </w:tcMar>
          </w:tcPr>
          <w:p w:rsidR="00BC2D02" w:rsidRPr="00BC2D02" w:rsidRDefault="00BC2D02" w:rsidP="00BC2D02">
            <w:pPr>
              <w:tabs>
                <w:tab w:val="left" w:pos="426"/>
              </w:tabs>
              <w:spacing w:after="0" w:line="240" w:lineRule="auto"/>
              <w:ind w:left="426"/>
              <w:jc w:val="center"/>
              <w:rPr>
                <w:rFonts w:ascii="AvantGarde Bk BT" w:eastAsia="Times New Roman" w:hAnsi="AvantGarde Bk BT" w:cs="Times New Roman"/>
                <w:lang w:eastAsia="es-ES"/>
              </w:rPr>
            </w:pPr>
          </w:p>
          <w:p w:rsidR="00BC2D02" w:rsidRPr="00BC2D02" w:rsidRDefault="00BC2D02" w:rsidP="00BC2D02">
            <w:pPr>
              <w:tabs>
                <w:tab w:val="left" w:pos="426"/>
              </w:tabs>
              <w:spacing w:after="0" w:line="240" w:lineRule="auto"/>
              <w:ind w:left="426"/>
              <w:jc w:val="center"/>
              <w:rPr>
                <w:rFonts w:ascii="AvantGarde Bk BT" w:eastAsia="Times New Roman" w:hAnsi="AvantGarde Bk BT" w:cs="Times New Roman"/>
                <w:lang w:eastAsia="es-ES"/>
              </w:rPr>
            </w:pPr>
          </w:p>
          <w:p w:rsidR="00BC2D02" w:rsidRPr="00BC2D02" w:rsidRDefault="00BC2D02" w:rsidP="00BC2D02">
            <w:pPr>
              <w:tabs>
                <w:tab w:val="left" w:pos="426"/>
              </w:tabs>
              <w:spacing w:after="0" w:line="240" w:lineRule="auto"/>
              <w:ind w:left="426"/>
              <w:jc w:val="center"/>
              <w:rPr>
                <w:rFonts w:ascii="AvantGarde Bk BT" w:eastAsia="Times New Roman" w:hAnsi="AvantGarde Bk BT" w:cs="Times New Roman"/>
                <w:lang w:eastAsia="es-ES"/>
              </w:rPr>
            </w:pPr>
          </w:p>
          <w:p w:rsidR="00BC2D02" w:rsidRPr="00BC2D02" w:rsidRDefault="00BC2D02" w:rsidP="00BC2D02">
            <w:pPr>
              <w:tabs>
                <w:tab w:val="left" w:pos="426"/>
              </w:tabs>
              <w:spacing w:after="0" w:line="240" w:lineRule="auto"/>
              <w:ind w:left="426"/>
              <w:jc w:val="center"/>
              <w:rPr>
                <w:rFonts w:ascii="AvantGarde Bk BT" w:eastAsia="Times New Roman" w:hAnsi="AvantGarde Bk BT" w:cs="Times New Roman"/>
                <w:lang w:eastAsia="es-ES"/>
              </w:rPr>
            </w:pPr>
            <w:r w:rsidRPr="00BC2D02">
              <w:rPr>
                <w:rFonts w:ascii="AvantGarde Bk BT" w:eastAsia="Times New Roman" w:hAnsi="AvantGarde Bk BT" w:cs="Times New Roman"/>
                <w:lang w:eastAsia="es-ES"/>
              </w:rPr>
              <w:t>Dr. Héctor Raúl Pérez Gómez</w:t>
            </w:r>
          </w:p>
        </w:tc>
        <w:tc>
          <w:tcPr>
            <w:tcW w:w="5050" w:type="dxa"/>
            <w:tcMar>
              <w:top w:w="0" w:type="dxa"/>
              <w:left w:w="108" w:type="dxa"/>
              <w:bottom w:w="0" w:type="dxa"/>
              <w:right w:w="108" w:type="dxa"/>
            </w:tcMar>
          </w:tcPr>
          <w:p w:rsidR="00BC2D02" w:rsidRPr="00BC2D02" w:rsidRDefault="00BC2D02" w:rsidP="00BC2D02">
            <w:pPr>
              <w:spacing w:after="0" w:line="240" w:lineRule="auto"/>
              <w:jc w:val="center"/>
              <w:rPr>
                <w:rFonts w:ascii="AvantGarde Bk BT" w:eastAsia="Times New Roman" w:hAnsi="AvantGarde Bk BT" w:cs="Times New Roman"/>
                <w:lang w:eastAsia="es-ES"/>
              </w:rPr>
            </w:pPr>
          </w:p>
          <w:p w:rsidR="00BC2D02" w:rsidRPr="00BC2D02" w:rsidRDefault="00BC2D02" w:rsidP="00BC2D02">
            <w:pPr>
              <w:spacing w:after="0" w:line="240" w:lineRule="auto"/>
              <w:jc w:val="center"/>
              <w:rPr>
                <w:rFonts w:ascii="AvantGarde Bk BT" w:eastAsia="Times New Roman" w:hAnsi="AvantGarde Bk BT" w:cs="Times New Roman"/>
                <w:lang w:eastAsia="es-ES"/>
              </w:rPr>
            </w:pPr>
          </w:p>
          <w:p w:rsidR="00BC2D02" w:rsidRPr="00BC2D02" w:rsidRDefault="00BC2D02" w:rsidP="00BC2D02">
            <w:pPr>
              <w:spacing w:after="0" w:line="240" w:lineRule="auto"/>
              <w:jc w:val="center"/>
              <w:rPr>
                <w:rFonts w:ascii="AvantGarde Bk BT" w:eastAsia="Times New Roman" w:hAnsi="AvantGarde Bk BT" w:cs="Times New Roman"/>
                <w:lang w:eastAsia="es-ES"/>
              </w:rPr>
            </w:pPr>
          </w:p>
          <w:p w:rsidR="00BC2D02" w:rsidRPr="00BC2D02" w:rsidRDefault="00BC2D02" w:rsidP="00BC2D02">
            <w:pPr>
              <w:spacing w:after="0" w:line="240" w:lineRule="auto"/>
              <w:jc w:val="center"/>
              <w:rPr>
                <w:rFonts w:ascii="AvantGarde Bk BT" w:eastAsia="Times New Roman" w:hAnsi="AvantGarde Bk BT" w:cs="Times New Roman"/>
                <w:lang w:eastAsia="es-ES"/>
              </w:rPr>
            </w:pPr>
            <w:r w:rsidRPr="00BC2D02">
              <w:rPr>
                <w:rFonts w:ascii="AvantGarde Bk BT" w:eastAsia="Times New Roman" w:hAnsi="AvantGarde Bk BT" w:cs="Times New Roman"/>
                <w:lang w:eastAsia="es-ES"/>
              </w:rPr>
              <w:t>Dr. Martín Vargas Magaña</w:t>
            </w:r>
          </w:p>
        </w:tc>
      </w:tr>
      <w:tr w:rsidR="00BC2D02" w:rsidRPr="00BC2D02" w:rsidTr="00355164">
        <w:trPr>
          <w:jc w:val="center"/>
        </w:trPr>
        <w:tc>
          <w:tcPr>
            <w:tcW w:w="4370" w:type="dxa"/>
            <w:tcMar>
              <w:top w:w="0" w:type="dxa"/>
              <w:left w:w="108" w:type="dxa"/>
              <w:bottom w:w="0" w:type="dxa"/>
              <w:right w:w="108" w:type="dxa"/>
            </w:tcMar>
          </w:tcPr>
          <w:p w:rsidR="00BC2D02" w:rsidRPr="00BC2D02" w:rsidRDefault="00BC2D02" w:rsidP="00BC2D02">
            <w:pPr>
              <w:tabs>
                <w:tab w:val="left" w:pos="426"/>
              </w:tabs>
              <w:spacing w:after="0" w:line="240" w:lineRule="auto"/>
              <w:ind w:left="426"/>
              <w:jc w:val="center"/>
              <w:rPr>
                <w:rFonts w:ascii="AvantGarde Bk BT" w:eastAsia="Times New Roman" w:hAnsi="AvantGarde Bk BT" w:cs="Times New Roman"/>
                <w:lang w:eastAsia="es-ES"/>
              </w:rPr>
            </w:pPr>
          </w:p>
          <w:p w:rsidR="00BC2D02" w:rsidRPr="00BC2D02" w:rsidRDefault="00BC2D02" w:rsidP="00BC2D02">
            <w:pPr>
              <w:tabs>
                <w:tab w:val="left" w:pos="426"/>
              </w:tabs>
              <w:spacing w:after="0" w:line="240" w:lineRule="auto"/>
              <w:ind w:left="426"/>
              <w:jc w:val="center"/>
              <w:rPr>
                <w:rFonts w:ascii="AvantGarde Bk BT" w:eastAsia="Times New Roman" w:hAnsi="AvantGarde Bk BT" w:cs="Times New Roman"/>
                <w:lang w:eastAsia="es-ES"/>
              </w:rPr>
            </w:pPr>
          </w:p>
          <w:p w:rsidR="00BC2D02" w:rsidRPr="00BC2D02" w:rsidRDefault="00BC2D02" w:rsidP="00BC2D02">
            <w:pPr>
              <w:tabs>
                <w:tab w:val="left" w:pos="426"/>
              </w:tabs>
              <w:spacing w:after="0" w:line="240" w:lineRule="auto"/>
              <w:ind w:left="426"/>
              <w:jc w:val="center"/>
              <w:rPr>
                <w:rFonts w:ascii="AvantGarde Bk BT" w:eastAsia="Times New Roman" w:hAnsi="AvantGarde Bk BT" w:cs="Times New Roman"/>
                <w:lang w:eastAsia="es-ES"/>
              </w:rPr>
            </w:pPr>
          </w:p>
          <w:p w:rsidR="00BC2D02" w:rsidRPr="00BC2D02" w:rsidRDefault="00BC2D02" w:rsidP="00BC2D02">
            <w:pPr>
              <w:tabs>
                <w:tab w:val="left" w:pos="426"/>
              </w:tabs>
              <w:spacing w:after="0" w:line="240" w:lineRule="auto"/>
              <w:ind w:left="426"/>
              <w:jc w:val="center"/>
              <w:rPr>
                <w:rFonts w:ascii="AvantGarde Bk BT" w:eastAsia="Times New Roman" w:hAnsi="AvantGarde Bk BT" w:cs="Times New Roman"/>
                <w:lang w:eastAsia="es-ES"/>
              </w:rPr>
            </w:pPr>
            <w:r w:rsidRPr="00BC2D02">
              <w:rPr>
                <w:rFonts w:ascii="AvantGarde Bk BT" w:eastAsia="Times New Roman" w:hAnsi="AvantGarde Bk BT" w:cs="Times New Roman"/>
                <w:lang w:eastAsia="es-ES"/>
              </w:rPr>
              <w:t>C. Francisco Javier Álvarez Padilla</w:t>
            </w:r>
          </w:p>
        </w:tc>
        <w:tc>
          <w:tcPr>
            <w:tcW w:w="5050" w:type="dxa"/>
            <w:tcMar>
              <w:top w:w="0" w:type="dxa"/>
              <w:left w:w="108" w:type="dxa"/>
              <w:bottom w:w="0" w:type="dxa"/>
              <w:right w:w="108" w:type="dxa"/>
            </w:tcMar>
          </w:tcPr>
          <w:p w:rsidR="00BC2D02" w:rsidRPr="00BC2D02" w:rsidRDefault="00BC2D02" w:rsidP="00BC2D02">
            <w:pPr>
              <w:spacing w:after="0" w:line="240" w:lineRule="auto"/>
              <w:jc w:val="center"/>
              <w:rPr>
                <w:rFonts w:ascii="AvantGarde Bk BT" w:eastAsia="Times New Roman" w:hAnsi="AvantGarde Bk BT" w:cs="Times New Roman"/>
                <w:lang w:eastAsia="es-ES"/>
              </w:rPr>
            </w:pPr>
          </w:p>
          <w:p w:rsidR="00BC2D02" w:rsidRPr="00BC2D02" w:rsidRDefault="00BC2D02" w:rsidP="00BC2D02">
            <w:pPr>
              <w:spacing w:after="0" w:line="240" w:lineRule="auto"/>
              <w:jc w:val="center"/>
              <w:rPr>
                <w:rFonts w:ascii="AvantGarde Bk BT" w:eastAsia="Times New Roman" w:hAnsi="AvantGarde Bk BT" w:cs="Times New Roman"/>
                <w:lang w:eastAsia="es-ES"/>
              </w:rPr>
            </w:pPr>
          </w:p>
          <w:p w:rsidR="00BC2D02" w:rsidRPr="00BC2D02" w:rsidRDefault="00BC2D02" w:rsidP="00BC2D02">
            <w:pPr>
              <w:spacing w:after="0" w:line="240" w:lineRule="auto"/>
              <w:jc w:val="center"/>
              <w:rPr>
                <w:rFonts w:ascii="AvantGarde Bk BT" w:eastAsia="Times New Roman" w:hAnsi="AvantGarde Bk BT" w:cs="Times New Roman"/>
                <w:lang w:eastAsia="es-ES"/>
              </w:rPr>
            </w:pPr>
          </w:p>
          <w:p w:rsidR="00BC2D02" w:rsidRPr="00BC2D02" w:rsidRDefault="00BC2D02" w:rsidP="00BC2D02">
            <w:pPr>
              <w:spacing w:after="0" w:line="240" w:lineRule="auto"/>
              <w:jc w:val="center"/>
              <w:rPr>
                <w:rFonts w:ascii="AvantGarde Bk BT" w:eastAsia="Times New Roman" w:hAnsi="AvantGarde Bk BT" w:cs="Times New Roman"/>
                <w:lang w:eastAsia="es-ES"/>
              </w:rPr>
            </w:pPr>
            <w:r w:rsidRPr="00BC2D02">
              <w:rPr>
                <w:rFonts w:ascii="AvantGarde Bk BT" w:eastAsia="Times New Roman" w:hAnsi="AvantGarde Bk BT" w:cs="Times New Roman"/>
                <w:lang w:eastAsia="es-ES"/>
              </w:rPr>
              <w:t>C. José Alberto Galarza Villaseñor</w:t>
            </w:r>
          </w:p>
        </w:tc>
      </w:tr>
    </w:tbl>
    <w:p w:rsidR="00BC2D02" w:rsidRPr="00BC2D02" w:rsidRDefault="00BC2D02" w:rsidP="00BC2D02">
      <w:pPr>
        <w:spacing w:after="0" w:line="240" w:lineRule="auto"/>
        <w:jc w:val="center"/>
        <w:rPr>
          <w:rFonts w:ascii="AvantGarde Bk BT" w:eastAsia="Times New Roman" w:hAnsi="AvantGarde Bk BT" w:cs="Times New Roman"/>
          <w:lang w:eastAsia="es-ES"/>
        </w:rPr>
      </w:pPr>
    </w:p>
    <w:p w:rsidR="00BC2D02" w:rsidRPr="00BC2D02" w:rsidRDefault="00BC2D02" w:rsidP="00BC2D02">
      <w:pPr>
        <w:spacing w:after="0" w:line="240" w:lineRule="auto"/>
        <w:jc w:val="center"/>
        <w:rPr>
          <w:rFonts w:ascii="AvantGarde Bk BT" w:eastAsia="Times New Roman" w:hAnsi="AvantGarde Bk BT" w:cs="Times New Roman"/>
          <w:lang w:eastAsia="es-ES"/>
        </w:rPr>
      </w:pPr>
    </w:p>
    <w:p w:rsidR="00BC2D02" w:rsidRPr="00BC2D02" w:rsidRDefault="00BC2D02" w:rsidP="00BC2D02">
      <w:pPr>
        <w:spacing w:after="0" w:line="240" w:lineRule="auto"/>
        <w:jc w:val="center"/>
        <w:rPr>
          <w:rFonts w:ascii="AvantGarde Bk BT" w:eastAsia="Times New Roman" w:hAnsi="AvantGarde Bk BT" w:cs="Times New Roman"/>
          <w:lang w:eastAsia="es-ES"/>
        </w:rPr>
      </w:pPr>
    </w:p>
    <w:p w:rsidR="00BC2D02" w:rsidRPr="00BC2D02" w:rsidRDefault="00BC2D02" w:rsidP="00BC2D02">
      <w:pPr>
        <w:spacing w:after="0" w:line="240" w:lineRule="auto"/>
        <w:jc w:val="center"/>
        <w:rPr>
          <w:rFonts w:ascii="AvantGarde Bk BT" w:eastAsia="Times New Roman" w:hAnsi="AvantGarde Bk BT" w:cs="Times New Roman"/>
          <w:b/>
          <w:bCs/>
          <w:lang w:eastAsia="es-ES"/>
        </w:rPr>
      </w:pPr>
      <w:r w:rsidRPr="00BC2D02">
        <w:rPr>
          <w:rFonts w:ascii="AvantGarde Bk BT" w:eastAsia="Times New Roman" w:hAnsi="AvantGarde Bk BT" w:cs="Times New Roman"/>
          <w:b/>
          <w:bCs/>
          <w:lang w:eastAsia="es-ES"/>
        </w:rPr>
        <w:t>Mtro. José Alfredo Peña Ramos</w:t>
      </w:r>
    </w:p>
    <w:p w:rsidR="00BC2D02" w:rsidRPr="00BC2D02" w:rsidRDefault="00BC2D02" w:rsidP="00BC2D02">
      <w:pPr>
        <w:spacing w:after="0" w:line="240" w:lineRule="auto"/>
        <w:jc w:val="center"/>
        <w:rPr>
          <w:rFonts w:ascii="Times New Roman" w:eastAsia="Times New Roman" w:hAnsi="Times New Roman" w:cs="Times New Roman"/>
          <w:lang w:eastAsia="es-ES"/>
        </w:rPr>
      </w:pPr>
      <w:r w:rsidRPr="00BC2D02">
        <w:rPr>
          <w:rFonts w:ascii="AvantGarde Bk BT" w:eastAsia="Times New Roman" w:hAnsi="AvantGarde Bk BT" w:cs="Times New Roman"/>
          <w:lang w:eastAsia="es-ES"/>
        </w:rPr>
        <w:t>Secretario de Actas y Acuerdos</w:t>
      </w:r>
    </w:p>
    <w:p w:rsidR="00BC2D02" w:rsidRPr="00BC2D02" w:rsidRDefault="00BC2D02" w:rsidP="00BC2D02">
      <w:pPr>
        <w:spacing w:after="0" w:line="240" w:lineRule="auto"/>
        <w:jc w:val="right"/>
        <w:rPr>
          <w:b/>
        </w:rPr>
      </w:pPr>
    </w:p>
    <w:sectPr w:rsidR="00BC2D02" w:rsidRPr="00BC2D02" w:rsidSect="00C87858">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C09" w:rsidRDefault="00752C09" w:rsidP="00BC2D02">
      <w:pPr>
        <w:spacing w:after="0" w:line="240" w:lineRule="auto"/>
      </w:pPr>
      <w:r>
        <w:separator/>
      </w:r>
    </w:p>
  </w:endnote>
  <w:endnote w:type="continuationSeparator" w:id="0">
    <w:p w:rsidR="00752C09" w:rsidRDefault="00752C09" w:rsidP="00BC2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vantGarde Bk BT">
    <w:panose1 w:val="020B04020202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5D" w:rsidRPr="00DC51E6" w:rsidRDefault="00F0219F"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Pr>
        <w:rFonts w:ascii="AvantGarde Bk BT" w:hAnsi="AvantGarde Bk BT"/>
        <w:b/>
        <w:sz w:val="14"/>
        <w:szCs w:val="14"/>
      </w:rPr>
      <w:instrText>PAGE</w:instrText>
    </w:r>
    <w:r w:rsidRPr="00DC51E6">
      <w:rPr>
        <w:rFonts w:ascii="AvantGarde Bk BT" w:hAnsi="AvantGarde Bk BT"/>
        <w:b/>
        <w:sz w:val="14"/>
        <w:szCs w:val="14"/>
      </w:rPr>
      <w:fldChar w:fldCharType="separate"/>
    </w:r>
    <w:r w:rsidR="0029718B">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Pr>
        <w:rFonts w:ascii="AvantGarde Bk BT" w:hAnsi="AvantGarde Bk BT"/>
        <w:b/>
        <w:sz w:val="14"/>
        <w:szCs w:val="14"/>
      </w:rPr>
      <w:instrText>NUMPAGES</w:instrText>
    </w:r>
    <w:r w:rsidRPr="00DC51E6">
      <w:rPr>
        <w:rFonts w:ascii="AvantGarde Bk BT" w:hAnsi="AvantGarde Bk BT"/>
        <w:b/>
        <w:sz w:val="14"/>
        <w:szCs w:val="14"/>
      </w:rPr>
      <w:fldChar w:fldCharType="separate"/>
    </w:r>
    <w:r w:rsidR="0029718B">
      <w:rPr>
        <w:rFonts w:ascii="AvantGarde Bk BT" w:hAnsi="AvantGarde Bk BT"/>
        <w:b/>
        <w:noProof/>
        <w:sz w:val="14"/>
        <w:szCs w:val="14"/>
      </w:rPr>
      <w:t>10</w:t>
    </w:r>
    <w:r w:rsidRPr="00DC51E6">
      <w:rPr>
        <w:rFonts w:ascii="AvantGarde Bk BT" w:hAnsi="AvantGarde Bk BT"/>
        <w:b/>
        <w:sz w:val="14"/>
        <w:szCs w:val="14"/>
      </w:rPr>
      <w:fldChar w:fldCharType="end"/>
    </w:r>
  </w:p>
  <w:p w:rsidR="00A9365D" w:rsidRDefault="00752C09" w:rsidP="00DC51E6">
    <w:pPr>
      <w:pStyle w:val="Piedepgina"/>
      <w:spacing w:line="276" w:lineRule="auto"/>
      <w:jc w:val="center"/>
      <w:rPr>
        <w:sz w:val="17"/>
        <w:szCs w:val="17"/>
      </w:rPr>
    </w:pPr>
  </w:p>
  <w:p w:rsidR="00A9365D" w:rsidRPr="00C85DA2" w:rsidRDefault="00F0219F" w:rsidP="00DC51E6">
    <w:pPr>
      <w:pStyle w:val="Piedepgina"/>
      <w:spacing w:line="276" w:lineRule="auto"/>
      <w:jc w:val="center"/>
      <w:rPr>
        <w:sz w:val="17"/>
        <w:szCs w:val="17"/>
      </w:rPr>
    </w:pPr>
    <w:r w:rsidRPr="00C85DA2">
      <w:rPr>
        <w:sz w:val="17"/>
        <w:szCs w:val="17"/>
      </w:rPr>
      <w:t>Av. Juárez No. 976, Edificio de la Rectoría General, Piso 5, Colonia Centro C.P. 44100.</w:t>
    </w:r>
  </w:p>
  <w:p w:rsidR="00A9365D" w:rsidRPr="00C85DA2" w:rsidRDefault="00F0219F" w:rsidP="00DC51E6">
    <w:pPr>
      <w:pStyle w:val="Piedepgina"/>
      <w:spacing w:line="276" w:lineRule="auto"/>
      <w:jc w:val="center"/>
      <w:rPr>
        <w:sz w:val="17"/>
        <w:szCs w:val="17"/>
      </w:rPr>
    </w:pPr>
    <w:r w:rsidRPr="00C85DA2">
      <w:rPr>
        <w:sz w:val="17"/>
        <w:szCs w:val="17"/>
      </w:rPr>
      <w:t>Guadalajara, Jalisco. México. Tel. [52] (33) 3134 2222, Exts. 12428, 12</w:t>
    </w:r>
    <w:r>
      <w:rPr>
        <w:sz w:val="17"/>
        <w:szCs w:val="17"/>
      </w:rPr>
      <w:t xml:space="preserve">243, 12420 y 12457  Tel. </w:t>
    </w:r>
    <w:proofErr w:type="spellStart"/>
    <w:r>
      <w:rPr>
        <w:sz w:val="17"/>
        <w:szCs w:val="17"/>
      </w:rPr>
      <w:t>dir.</w:t>
    </w:r>
    <w:proofErr w:type="spellEnd"/>
    <w:r w:rsidRPr="00C85DA2">
      <w:rPr>
        <w:sz w:val="17"/>
        <w:szCs w:val="17"/>
      </w:rPr>
      <w:t xml:space="preserve"> 3134 2243 Fax 3134 2278</w:t>
    </w:r>
  </w:p>
  <w:p w:rsidR="00A9365D" w:rsidRPr="00C85DA2" w:rsidRDefault="00F0219F" w:rsidP="00DC51E6">
    <w:pPr>
      <w:pStyle w:val="Piedepgina"/>
      <w:spacing w:line="276" w:lineRule="auto"/>
      <w:jc w:val="center"/>
      <w:rPr>
        <w:b/>
        <w:sz w:val="17"/>
        <w:szCs w:val="17"/>
      </w:rPr>
    </w:pPr>
    <w:r>
      <w:rPr>
        <w:b/>
        <w:sz w:val="17"/>
        <w:szCs w:val="17"/>
      </w:rPr>
      <w:t>www.hcgu</w:t>
    </w:r>
    <w:r w:rsidRPr="00C85DA2">
      <w:rPr>
        <w:b/>
        <w:sz w:val="17"/>
        <w:szCs w:val="17"/>
      </w:rPr>
      <w:t>.udg.mx</w:t>
    </w:r>
  </w:p>
  <w:p w:rsidR="00A9365D" w:rsidRPr="00DC51E6" w:rsidRDefault="00752C09"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C09" w:rsidRDefault="00752C09" w:rsidP="00BC2D02">
      <w:pPr>
        <w:spacing w:after="0" w:line="240" w:lineRule="auto"/>
      </w:pPr>
      <w:r>
        <w:separator/>
      </w:r>
    </w:p>
  </w:footnote>
  <w:footnote w:type="continuationSeparator" w:id="0">
    <w:p w:rsidR="00752C09" w:rsidRDefault="00752C09" w:rsidP="00BC2D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5D" w:rsidRDefault="00F0219F" w:rsidP="007B1178">
    <w:pPr>
      <w:pStyle w:val="Encabezado"/>
      <w:jc w:val="right"/>
      <w:rPr>
        <w:noProof/>
        <w:lang w:val="es-ES" w:eastAsia="es-MX"/>
      </w:rPr>
    </w:pPr>
    <w:r>
      <w:rPr>
        <w:noProof/>
        <w:lang w:eastAsia="es-MX"/>
      </w:rPr>
      <w:drawing>
        <wp:anchor distT="0" distB="0" distL="114300" distR="114300" simplePos="0" relativeHeight="251659264" behindDoc="1" locked="0" layoutInCell="1" allowOverlap="1" wp14:anchorId="5C5F45B6" wp14:editId="4E023860">
          <wp:simplePos x="0" y="0"/>
          <wp:positionH relativeFrom="column">
            <wp:posOffset>-1069975</wp:posOffset>
          </wp:positionH>
          <wp:positionV relativeFrom="paragraph">
            <wp:posOffset>-440055</wp:posOffset>
          </wp:positionV>
          <wp:extent cx="7753350" cy="1619250"/>
          <wp:effectExtent l="0" t="0" r="0" b="0"/>
          <wp:wrapNone/>
          <wp:docPr id="1" name="Imagen 1"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365D" w:rsidRDefault="00752C09" w:rsidP="007B1178">
    <w:pPr>
      <w:pStyle w:val="Encabezado"/>
      <w:jc w:val="right"/>
      <w:rPr>
        <w:noProof/>
        <w:lang w:val="es-ES" w:eastAsia="es-MX"/>
      </w:rPr>
    </w:pPr>
  </w:p>
  <w:p w:rsidR="00A9365D" w:rsidRDefault="00752C09" w:rsidP="007B1178">
    <w:pPr>
      <w:pStyle w:val="Encabezado"/>
      <w:jc w:val="right"/>
      <w:rPr>
        <w:noProof/>
        <w:lang w:val="es-ES" w:eastAsia="es-MX"/>
      </w:rPr>
    </w:pPr>
  </w:p>
  <w:p w:rsidR="00A9365D" w:rsidRDefault="00752C09" w:rsidP="007B1178">
    <w:pPr>
      <w:pStyle w:val="Encabezado"/>
      <w:jc w:val="right"/>
      <w:rPr>
        <w:rFonts w:ascii="AvantGarde Bk BT" w:hAnsi="AvantGarde Bk BT"/>
        <w:noProof/>
        <w:lang w:val="es-ES" w:eastAsia="es-MX"/>
      </w:rPr>
    </w:pPr>
  </w:p>
  <w:p w:rsidR="00A9365D" w:rsidRPr="007B1178" w:rsidRDefault="00F0219F" w:rsidP="007B1178">
    <w:pPr>
      <w:pStyle w:val="Encabezado"/>
      <w:jc w:val="right"/>
      <w:rPr>
        <w:rFonts w:ascii="AvantGarde Bk BT" w:hAnsi="AvantGarde Bk BT"/>
        <w:noProof/>
        <w:lang w:val="es-ES" w:eastAsia="es-MX"/>
      </w:rPr>
    </w:pPr>
    <w:r w:rsidRPr="007B1178">
      <w:rPr>
        <w:rFonts w:ascii="AvantGarde Bk BT" w:hAnsi="AvantGarde Bk BT"/>
        <w:noProof/>
        <w:lang w:val="es-ES" w:eastAsia="es-MX"/>
      </w:rPr>
      <w:t>Exp.021</w:t>
    </w:r>
  </w:p>
  <w:p w:rsidR="00A9365D" w:rsidRPr="007B1178" w:rsidRDefault="00F0219F" w:rsidP="007B1178">
    <w:pPr>
      <w:pStyle w:val="Encabezado"/>
      <w:jc w:val="right"/>
      <w:rPr>
        <w:rFonts w:ascii="AvantGarde Bk BT" w:hAnsi="AvantGarde Bk BT"/>
        <w:lang w:val="es-ES"/>
      </w:rPr>
    </w:pPr>
    <w:r w:rsidRPr="007B1178">
      <w:rPr>
        <w:rFonts w:ascii="AvantGarde Bk BT" w:hAnsi="AvantGarde Bk BT"/>
        <w:noProof/>
        <w:lang w:val="es-ES" w:eastAsia="es-MX"/>
      </w:rPr>
      <w:t>Dictamen Núm. I/201</w:t>
    </w:r>
    <w:r>
      <w:rPr>
        <w:rFonts w:ascii="AvantGarde Bk BT" w:hAnsi="AvantGarde Bk BT"/>
        <w:noProof/>
        <w:lang w:val="es-ES" w:eastAsia="es-MX"/>
      </w:rPr>
      <w:t>5</w:t>
    </w:r>
    <w:r w:rsidR="00560722">
      <w:rPr>
        <w:rFonts w:ascii="AvantGarde Bk BT" w:hAnsi="AvantGarde Bk BT"/>
        <w:noProof/>
        <w:lang w:val="es-ES" w:eastAsia="es-MX"/>
      </w:rPr>
      <w:t>/439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053D4"/>
    <w:multiLevelType w:val="hybridMultilevel"/>
    <w:tmpl w:val="304AE516"/>
    <w:lvl w:ilvl="0" w:tplc="47D06A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1F4E3C85"/>
    <w:multiLevelType w:val="hybridMultilevel"/>
    <w:tmpl w:val="00CCFBC4"/>
    <w:lvl w:ilvl="0" w:tplc="610C9694">
      <w:start w:val="1"/>
      <w:numFmt w:val="decimal"/>
      <w:lvlText w:val="%1."/>
      <w:lvlJc w:val="left"/>
      <w:pPr>
        <w:tabs>
          <w:tab w:val="num" w:pos="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D75293D"/>
    <w:multiLevelType w:val="hybridMultilevel"/>
    <w:tmpl w:val="7A1E57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1C4569A"/>
    <w:multiLevelType w:val="hybridMultilevel"/>
    <w:tmpl w:val="304AE516"/>
    <w:lvl w:ilvl="0" w:tplc="47D06A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52A66EC1"/>
    <w:multiLevelType w:val="singleLevel"/>
    <w:tmpl w:val="BCE88E7C"/>
    <w:lvl w:ilvl="0">
      <w:start w:val="1"/>
      <w:numFmt w:val="upperRoman"/>
      <w:lvlText w:val="%1. "/>
      <w:legacy w:legacy="1" w:legacySpace="0" w:legacyIndent="283"/>
      <w:lvlJc w:val="left"/>
      <w:pPr>
        <w:ind w:left="283" w:hanging="283"/>
      </w:pPr>
      <w:rPr>
        <w:rFonts w:ascii="Arial" w:hAnsi="Arial" w:hint="default"/>
        <w:b w:val="0"/>
        <w:i w:val="0"/>
        <w:sz w:val="22"/>
      </w:rPr>
    </w:lvl>
  </w:abstractNum>
  <w:abstractNum w:abstractNumId="5">
    <w:nsid w:val="53576F85"/>
    <w:multiLevelType w:val="hybridMultilevel"/>
    <w:tmpl w:val="304AE516"/>
    <w:lvl w:ilvl="0" w:tplc="47D06A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54CE2225"/>
    <w:multiLevelType w:val="singleLevel"/>
    <w:tmpl w:val="A8FC550E"/>
    <w:lvl w:ilvl="0">
      <w:start w:val="1"/>
      <w:numFmt w:val="upperRoman"/>
      <w:lvlText w:val="%1."/>
      <w:lvlJc w:val="left"/>
      <w:pPr>
        <w:tabs>
          <w:tab w:val="num" w:pos="720"/>
        </w:tabs>
        <w:ind w:left="720" w:hanging="720"/>
      </w:pPr>
      <w:rPr>
        <w:rFonts w:cs="Times New Roman" w:hint="default"/>
        <w:b w:val="0"/>
        <w:color w:val="auto"/>
      </w:rPr>
    </w:lvl>
  </w:abstractNum>
  <w:abstractNum w:abstractNumId="7">
    <w:nsid w:val="659125CD"/>
    <w:multiLevelType w:val="hybridMultilevel"/>
    <w:tmpl w:val="BC7A39B6"/>
    <w:lvl w:ilvl="0" w:tplc="894A774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nsid w:val="669F1CF3"/>
    <w:multiLevelType w:val="hybridMultilevel"/>
    <w:tmpl w:val="96EC4582"/>
    <w:lvl w:ilvl="0" w:tplc="080A0019">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nsid w:val="6A121315"/>
    <w:multiLevelType w:val="hybridMultilevel"/>
    <w:tmpl w:val="304AE516"/>
    <w:lvl w:ilvl="0" w:tplc="47D06A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6"/>
  </w:num>
  <w:num w:numId="2">
    <w:abstractNumId w:val="2"/>
  </w:num>
  <w:num w:numId="3">
    <w:abstractNumId w:val="3"/>
  </w:num>
  <w:num w:numId="4">
    <w:abstractNumId w:val="5"/>
  </w:num>
  <w:num w:numId="5">
    <w:abstractNumId w:val="9"/>
  </w:num>
  <w:num w:numId="6">
    <w:abstractNumId w:val="0"/>
  </w:num>
  <w:num w:numId="7">
    <w:abstractNumId w:val="4"/>
  </w:num>
  <w:num w:numId="8">
    <w:abstractNumId w:val="1"/>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D02"/>
    <w:rsid w:val="00074567"/>
    <w:rsid w:val="000E6FA5"/>
    <w:rsid w:val="00156195"/>
    <w:rsid w:val="001854D9"/>
    <w:rsid w:val="0029718B"/>
    <w:rsid w:val="0031024C"/>
    <w:rsid w:val="00397B8B"/>
    <w:rsid w:val="003E47D3"/>
    <w:rsid w:val="004429FE"/>
    <w:rsid w:val="00560722"/>
    <w:rsid w:val="00752C09"/>
    <w:rsid w:val="00770C7D"/>
    <w:rsid w:val="00847FD4"/>
    <w:rsid w:val="008B4629"/>
    <w:rsid w:val="00A74A42"/>
    <w:rsid w:val="00B72EE9"/>
    <w:rsid w:val="00BC2D02"/>
    <w:rsid w:val="00DF7AC1"/>
    <w:rsid w:val="00F0219F"/>
    <w:rsid w:val="00FC0D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D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2D02"/>
  </w:style>
  <w:style w:type="paragraph" w:styleId="Piedepgina">
    <w:name w:val="footer"/>
    <w:basedOn w:val="Normal"/>
    <w:link w:val="PiedepginaCar"/>
    <w:uiPriority w:val="99"/>
    <w:unhideWhenUsed/>
    <w:rsid w:val="00BC2D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2D02"/>
  </w:style>
  <w:style w:type="character" w:styleId="Refdecomentario">
    <w:name w:val="annotation reference"/>
    <w:basedOn w:val="Fuentedeprrafopredeter"/>
    <w:uiPriority w:val="99"/>
    <w:semiHidden/>
    <w:unhideWhenUsed/>
    <w:rsid w:val="008B4629"/>
    <w:rPr>
      <w:sz w:val="16"/>
      <w:szCs w:val="16"/>
    </w:rPr>
  </w:style>
  <w:style w:type="paragraph" w:styleId="Textocomentario">
    <w:name w:val="annotation text"/>
    <w:basedOn w:val="Normal"/>
    <w:link w:val="TextocomentarioCar"/>
    <w:uiPriority w:val="99"/>
    <w:semiHidden/>
    <w:unhideWhenUsed/>
    <w:rsid w:val="008B462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B4629"/>
    <w:rPr>
      <w:sz w:val="20"/>
      <w:szCs w:val="20"/>
    </w:rPr>
  </w:style>
  <w:style w:type="paragraph" w:styleId="Asuntodelcomentario">
    <w:name w:val="annotation subject"/>
    <w:basedOn w:val="Textocomentario"/>
    <w:next w:val="Textocomentario"/>
    <w:link w:val="AsuntodelcomentarioCar"/>
    <w:uiPriority w:val="99"/>
    <w:semiHidden/>
    <w:unhideWhenUsed/>
    <w:rsid w:val="008B4629"/>
    <w:rPr>
      <w:b/>
      <w:bCs/>
    </w:rPr>
  </w:style>
  <w:style w:type="character" w:customStyle="1" w:styleId="AsuntodelcomentarioCar">
    <w:name w:val="Asunto del comentario Car"/>
    <w:basedOn w:val="TextocomentarioCar"/>
    <w:link w:val="Asuntodelcomentario"/>
    <w:uiPriority w:val="99"/>
    <w:semiHidden/>
    <w:rsid w:val="008B4629"/>
    <w:rPr>
      <w:b/>
      <w:bCs/>
      <w:sz w:val="20"/>
      <w:szCs w:val="20"/>
    </w:rPr>
  </w:style>
  <w:style w:type="paragraph" w:styleId="Textodeglobo">
    <w:name w:val="Balloon Text"/>
    <w:basedOn w:val="Normal"/>
    <w:link w:val="TextodegloboCar"/>
    <w:uiPriority w:val="99"/>
    <w:semiHidden/>
    <w:unhideWhenUsed/>
    <w:rsid w:val="008B46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46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D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2D02"/>
  </w:style>
  <w:style w:type="paragraph" w:styleId="Piedepgina">
    <w:name w:val="footer"/>
    <w:basedOn w:val="Normal"/>
    <w:link w:val="PiedepginaCar"/>
    <w:uiPriority w:val="99"/>
    <w:unhideWhenUsed/>
    <w:rsid w:val="00BC2D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2D02"/>
  </w:style>
  <w:style w:type="character" w:styleId="Refdecomentario">
    <w:name w:val="annotation reference"/>
    <w:basedOn w:val="Fuentedeprrafopredeter"/>
    <w:uiPriority w:val="99"/>
    <w:semiHidden/>
    <w:unhideWhenUsed/>
    <w:rsid w:val="008B4629"/>
    <w:rPr>
      <w:sz w:val="16"/>
      <w:szCs w:val="16"/>
    </w:rPr>
  </w:style>
  <w:style w:type="paragraph" w:styleId="Textocomentario">
    <w:name w:val="annotation text"/>
    <w:basedOn w:val="Normal"/>
    <w:link w:val="TextocomentarioCar"/>
    <w:uiPriority w:val="99"/>
    <w:semiHidden/>
    <w:unhideWhenUsed/>
    <w:rsid w:val="008B462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B4629"/>
    <w:rPr>
      <w:sz w:val="20"/>
      <w:szCs w:val="20"/>
    </w:rPr>
  </w:style>
  <w:style w:type="paragraph" w:styleId="Asuntodelcomentario">
    <w:name w:val="annotation subject"/>
    <w:basedOn w:val="Textocomentario"/>
    <w:next w:val="Textocomentario"/>
    <w:link w:val="AsuntodelcomentarioCar"/>
    <w:uiPriority w:val="99"/>
    <w:semiHidden/>
    <w:unhideWhenUsed/>
    <w:rsid w:val="008B4629"/>
    <w:rPr>
      <w:b/>
      <w:bCs/>
    </w:rPr>
  </w:style>
  <w:style w:type="character" w:customStyle="1" w:styleId="AsuntodelcomentarioCar">
    <w:name w:val="Asunto del comentario Car"/>
    <w:basedOn w:val="TextocomentarioCar"/>
    <w:link w:val="Asuntodelcomentario"/>
    <w:uiPriority w:val="99"/>
    <w:semiHidden/>
    <w:rsid w:val="008B4629"/>
    <w:rPr>
      <w:b/>
      <w:bCs/>
      <w:sz w:val="20"/>
      <w:szCs w:val="20"/>
    </w:rPr>
  </w:style>
  <w:style w:type="paragraph" w:styleId="Textodeglobo">
    <w:name w:val="Balloon Text"/>
    <w:basedOn w:val="Normal"/>
    <w:link w:val="TextodegloboCar"/>
    <w:uiPriority w:val="99"/>
    <w:semiHidden/>
    <w:unhideWhenUsed/>
    <w:rsid w:val="008B46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46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3044</Words>
  <Characters>16748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RosymercadoSG</dc:creator>
  <cp:lastModifiedBy>cbarajas</cp:lastModifiedBy>
  <cp:revision>2</cp:revision>
  <cp:lastPrinted>2015-05-19T15:05:00Z</cp:lastPrinted>
  <dcterms:created xsi:type="dcterms:W3CDTF">2015-07-22T20:52:00Z</dcterms:created>
  <dcterms:modified xsi:type="dcterms:W3CDTF">2015-07-22T20:52:00Z</dcterms:modified>
</cp:coreProperties>
</file>