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6BCD551D"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 xml:space="preserve">Centro Universitario de </w:t>
      </w:r>
      <w:r w:rsidR="00EC5C9B">
        <w:rPr>
          <w:rFonts w:ascii="AvantGarde Bk BT" w:hAnsi="AvantGarde Bk BT"/>
          <w:bCs/>
          <w:sz w:val="20"/>
          <w:szCs w:val="20"/>
        </w:rPr>
        <w:t>Arte, Arquitectura y Diseño</w:t>
      </w:r>
      <w:r>
        <w:rPr>
          <w:rFonts w:ascii="AvantGarde Bk BT" w:hAnsi="AvantGarde Bk BT"/>
          <w:bCs/>
          <w:sz w:val="20"/>
          <w:szCs w:val="20"/>
        </w:rPr>
        <w:t xml:space="preserve"> </w:t>
      </w:r>
      <w:r w:rsidRPr="008279B9">
        <w:rPr>
          <w:rFonts w:ascii="AvantGarde Bk BT" w:hAnsi="AvantGarde Bk BT"/>
          <w:bCs/>
          <w:sz w:val="20"/>
          <w:szCs w:val="20"/>
        </w:rPr>
        <w:t xml:space="preserve">para resolver la solicitud para el otorgamiento de beca-crédito para iniciar el programa de </w:t>
      </w:r>
      <w:r w:rsidR="00EC5C9B">
        <w:rPr>
          <w:rFonts w:ascii="AvantGarde Bk BT" w:hAnsi="AvantGarde Bk BT"/>
          <w:bCs/>
          <w:sz w:val="20"/>
          <w:szCs w:val="20"/>
        </w:rPr>
        <w:t xml:space="preserve">MA </w:t>
      </w:r>
      <w:proofErr w:type="spellStart"/>
      <w:r w:rsidR="00EC5C9B">
        <w:rPr>
          <w:rFonts w:ascii="AvantGarde Bk BT" w:hAnsi="AvantGarde Bk BT"/>
          <w:bCs/>
          <w:sz w:val="20"/>
          <w:szCs w:val="20"/>
        </w:rPr>
        <w:t>Theatre</w:t>
      </w:r>
      <w:proofErr w:type="spellEnd"/>
      <w:r w:rsidR="00EC5C9B">
        <w:rPr>
          <w:rFonts w:ascii="AvantGarde Bk BT" w:hAnsi="AvantGarde Bk BT"/>
          <w:bCs/>
          <w:sz w:val="20"/>
          <w:szCs w:val="20"/>
        </w:rPr>
        <w:t xml:space="preserve"> and </w:t>
      </w:r>
      <w:proofErr w:type="spellStart"/>
      <w:r w:rsidR="00EC5C9B">
        <w:rPr>
          <w:rFonts w:ascii="AvantGarde Bk BT" w:hAnsi="AvantGarde Bk BT"/>
          <w:bCs/>
          <w:sz w:val="20"/>
          <w:szCs w:val="20"/>
        </w:rPr>
        <w:t>Performative</w:t>
      </w:r>
      <w:proofErr w:type="spellEnd"/>
      <w:r w:rsidR="00EC5C9B">
        <w:rPr>
          <w:rFonts w:ascii="AvantGarde Bk BT" w:hAnsi="AvantGarde Bk BT"/>
          <w:bCs/>
          <w:sz w:val="20"/>
          <w:szCs w:val="20"/>
        </w:rPr>
        <w:t xml:space="preserve"> </w:t>
      </w:r>
      <w:proofErr w:type="spellStart"/>
      <w:r w:rsidR="00EC5C9B">
        <w:rPr>
          <w:rFonts w:ascii="AvantGarde Bk BT" w:hAnsi="AvantGarde Bk BT"/>
          <w:bCs/>
          <w:sz w:val="20"/>
          <w:szCs w:val="20"/>
        </w:rPr>
        <w:t>Practice</w:t>
      </w:r>
      <w:proofErr w:type="spellEnd"/>
      <w:r w:rsidR="00EC5C9B">
        <w:rPr>
          <w:rFonts w:ascii="AvantGarde Bk BT" w:hAnsi="AvantGarde Bk BT"/>
          <w:bCs/>
          <w:sz w:val="20"/>
          <w:szCs w:val="20"/>
        </w:rPr>
        <w:t xml:space="preserve"> en </w:t>
      </w:r>
      <w:proofErr w:type="spellStart"/>
      <w:r w:rsidR="00EC5C9B">
        <w:rPr>
          <w:rFonts w:ascii="AvantGarde Bk BT" w:hAnsi="AvantGarde Bk BT"/>
          <w:bCs/>
          <w:sz w:val="20"/>
          <w:szCs w:val="20"/>
        </w:rPr>
        <w:t>University</w:t>
      </w:r>
      <w:proofErr w:type="spellEnd"/>
      <w:r w:rsidR="00EC5C9B">
        <w:rPr>
          <w:rFonts w:ascii="AvantGarde Bk BT" w:hAnsi="AvantGarde Bk BT"/>
          <w:bCs/>
          <w:sz w:val="20"/>
          <w:szCs w:val="20"/>
        </w:rPr>
        <w:t xml:space="preserve"> </w:t>
      </w:r>
      <w:proofErr w:type="spellStart"/>
      <w:r w:rsidR="00EC5C9B">
        <w:rPr>
          <w:rFonts w:ascii="AvantGarde Bk BT" w:hAnsi="AvantGarde Bk BT"/>
          <w:bCs/>
          <w:sz w:val="20"/>
          <w:szCs w:val="20"/>
        </w:rPr>
        <w:t>College</w:t>
      </w:r>
      <w:proofErr w:type="spellEnd"/>
      <w:r w:rsidR="00EC5C9B">
        <w:rPr>
          <w:rFonts w:ascii="AvantGarde Bk BT" w:hAnsi="AvantGarde Bk BT"/>
          <w:bCs/>
          <w:sz w:val="20"/>
          <w:szCs w:val="20"/>
        </w:rPr>
        <w:t xml:space="preserve"> Cork, Irlanda</w:t>
      </w:r>
      <w:r>
        <w:rPr>
          <w:rFonts w:ascii="AvantGarde Bk BT" w:hAnsi="AvantGarde Bk BT"/>
          <w:bCs/>
          <w:sz w:val="20"/>
          <w:szCs w:val="20"/>
        </w:rPr>
        <w:t>, p</w:t>
      </w:r>
      <w:r w:rsidRPr="008279B9">
        <w:rPr>
          <w:rFonts w:ascii="AvantGarde Bk BT" w:hAnsi="AvantGarde Bk BT"/>
          <w:bCs/>
          <w:sz w:val="20"/>
          <w:szCs w:val="20"/>
        </w:rPr>
        <w:t xml:space="preserve">resentada por </w:t>
      </w:r>
      <w:r w:rsidR="00EC5C9B">
        <w:rPr>
          <w:rFonts w:ascii="AvantGarde Bk BT" w:hAnsi="AvantGarde Bk BT"/>
          <w:bCs/>
          <w:sz w:val="20"/>
          <w:szCs w:val="20"/>
        </w:rPr>
        <w:t>la C. GEORGINA AMEZTLI RAMIREZ HORTA</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10C3C6ED"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B12A8C">
        <w:rPr>
          <w:rFonts w:ascii="AvantGarde Bk BT" w:hAnsi="AvantGarde Bk BT"/>
          <w:sz w:val="20"/>
          <w:szCs w:val="20"/>
        </w:rPr>
        <w:t xml:space="preserve"> la C. </w:t>
      </w:r>
      <w:r w:rsidR="00EC5C9B">
        <w:rPr>
          <w:rFonts w:ascii="AvantGarde Bk BT" w:hAnsi="AvantGarde Bk BT"/>
          <w:sz w:val="20"/>
          <w:szCs w:val="20"/>
        </w:rPr>
        <w:t>GEORGINA AMEZTLI RAMIREZ HORTA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EC5C9B">
        <w:rPr>
          <w:rFonts w:ascii="AvantGarde Bk BT" w:hAnsi="AvantGarde Bk BT"/>
          <w:bCs/>
          <w:sz w:val="20"/>
          <w:szCs w:val="20"/>
        </w:rPr>
        <w:t>24</w:t>
      </w:r>
      <w:r w:rsidR="00A81563">
        <w:rPr>
          <w:rFonts w:ascii="AvantGarde Bk BT" w:hAnsi="AvantGarde Bk BT"/>
          <w:bCs/>
          <w:sz w:val="20"/>
          <w:szCs w:val="20"/>
        </w:rPr>
        <w:t xml:space="preserve"> de mayo</w:t>
      </w:r>
      <w:r w:rsidR="00B12A8C">
        <w:rPr>
          <w:rFonts w:ascii="AvantGarde Bk BT" w:hAnsi="AvantGarde Bk BT"/>
          <w:bCs/>
          <w:sz w:val="20"/>
          <w:szCs w:val="20"/>
        </w:rPr>
        <w:t xml:space="preserve">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 xml:space="preserve">de </w:t>
      </w:r>
      <w:r w:rsidR="00EC5C9B">
        <w:rPr>
          <w:rFonts w:ascii="AvantGarde Bk BT" w:hAnsi="AvantGarde Bk BT"/>
          <w:bCs/>
          <w:sz w:val="20"/>
          <w:szCs w:val="20"/>
        </w:rPr>
        <w:t>Arte, Arquitectura y Diseño</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12E9377" w14:textId="2722FF0A" w:rsidR="00A81563"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EC5C9B">
        <w:rPr>
          <w:rFonts w:ascii="AvantGarde Bk BT" w:hAnsi="AvantGarde Bk BT"/>
          <w:sz w:val="20"/>
          <w:szCs w:val="20"/>
        </w:rPr>
        <w:t>iniciar</w:t>
      </w:r>
      <w:r>
        <w:rPr>
          <w:rFonts w:ascii="AvantGarde Bk BT" w:hAnsi="AvantGarde Bk BT"/>
          <w:sz w:val="20"/>
          <w:szCs w:val="20"/>
        </w:rPr>
        <w:t xml:space="preserve"> el programa de</w:t>
      </w:r>
      <w:r w:rsidR="00995529">
        <w:rPr>
          <w:rFonts w:ascii="AvantGarde Bk BT" w:hAnsi="AvantGarde Bk BT"/>
          <w:sz w:val="20"/>
          <w:szCs w:val="20"/>
        </w:rPr>
        <w:t xml:space="preserve"> MA</w:t>
      </w:r>
      <w:r w:rsidR="00B12A8C">
        <w:rPr>
          <w:rFonts w:ascii="AvantGarde Bk BT" w:hAnsi="AvantGarde Bk BT"/>
          <w:sz w:val="20"/>
          <w:szCs w:val="20"/>
        </w:rPr>
        <w:t xml:space="preserve"> </w:t>
      </w:r>
      <w:proofErr w:type="spellStart"/>
      <w:r w:rsidR="00EC5C9B">
        <w:rPr>
          <w:rFonts w:ascii="AvantGarde Bk BT" w:hAnsi="AvantGarde Bk BT"/>
          <w:bCs/>
          <w:sz w:val="20"/>
          <w:szCs w:val="20"/>
        </w:rPr>
        <w:t>Theatre</w:t>
      </w:r>
      <w:proofErr w:type="spellEnd"/>
      <w:r w:rsidR="00EC5C9B">
        <w:rPr>
          <w:rFonts w:ascii="AvantGarde Bk BT" w:hAnsi="AvantGarde Bk BT"/>
          <w:bCs/>
          <w:sz w:val="20"/>
          <w:szCs w:val="20"/>
        </w:rPr>
        <w:t xml:space="preserve"> and </w:t>
      </w:r>
      <w:proofErr w:type="spellStart"/>
      <w:r w:rsidR="00EC5C9B">
        <w:rPr>
          <w:rFonts w:ascii="AvantGarde Bk BT" w:hAnsi="AvantGarde Bk BT"/>
          <w:bCs/>
          <w:sz w:val="20"/>
          <w:szCs w:val="20"/>
        </w:rPr>
        <w:t>Performative</w:t>
      </w:r>
      <w:proofErr w:type="spellEnd"/>
      <w:r w:rsidR="00EC5C9B">
        <w:rPr>
          <w:rFonts w:ascii="AvantGarde Bk BT" w:hAnsi="AvantGarde Bk BT"/>
          <w:bCs/>
          <w:sz w:val="20"/>
          <w:szCs w:val="20"/>
        </w:rPr>
        <w:t xml:space="preserve"> </w:t>
      </w:r>
      <w:proofErr w:type="spellStart"/>
      <w:r w:rsidR="00EC5C9B">
        <w:rPr>
          <w:rFonts w:ascii="AvantGarde Bk BT" w:hAnsi="AvantGarde Bk BT"/>
          <w:bCs/>
          <w:sz w:val="20"/>
          <w:szCs w:val="20"/>
        </w:rPr>
        <w:t>Practice</w:t>
      </w:r>
      <w:proofErr w:type="spellEnd"/>
      <w:r w:rsidR="00EC5C9B">
        <w:rPr>
          <w:rFonts w:ascii="AvantGarde Bk BT" w:hAnsi="AvantGarde Bk BT"/>
          <w:bCs/>
          <w:sz w:val="20"/>
          <w:szCs w:val="20"/>
        </w:rPr>
        <w:t xml:space="preserve"> en </w:t>
      </w:r>
      <w:proofErr w:type="spellStart"/>
      <w:r w:rsidR="00EC5C9B">
        <w:rPr>
          <w:rFonts w:ascii="AvantGarde Bk BT" w:hAnsi="AvantGarde Bk BT"/>
          <w:bCs/>
          <w:sz w:val="20"/>
          <w:szCs w:val="20"/>
        </w:rPr>
        <w:t>University</w:t>
      </w:r>
      <w:proofErr w:type="spellEnd"/>
      <w:r w:rsidR="00EC5C9B">
        <w:rPr>
          <w:rFonts w:ascii="AvantGarde Bk BT" w:hAnsi="AvantGarde Bk BT"/>
          <w:bCs/>
          <w:sz w:val="20"/>
          <w:szCs w:val="20"/>
        </w:rPr>
        <w:t xml:space="preserve"> </w:t>
      </w:r>
      <w:proofErr w:type="spellStart"/>
      <w:r w:rsidR="00EC5C9B">
        <w:rPr>
          <w:rFonts w:ascii="AvantGarde Bk BT" w:hAnsi="AvantGarde Bk BT"/>
          <w:bCs/>
          <w:sz w:val="20"/>
          <w:szCs w:val="20"/>
        </w:rPr>
        <w:t>College</w:t>
      </w:r>
      <w:proofErr w:type="spellEnd"/>
      <w:r w:rsidR="00EC5C9B">
        <w:rPr>
          <w:rFonts w:ascii="AvantGarde Bk BT" w:hAnsi="AvantGarde Bk BT"/>
          <w:bCs/>
          <w:sz w:val="20"/>
          <w:szCs w:val="20"/>
        </w:rPr>
        <w:t xml:space="preserve"> Cork, Irlanda</w:t>
      </w:r>
      <w:r w:rsidR="00A81563">
        <w:rPr>
          <w:rFonts w:ascii="AvantGarde Bk BT" w:hAnsi="AvantGarde Bk BT"/>
          <w:sz w:val="20"/>
          <w:szCs w:val="20"/>
        </w:rPr>
        <w:t>.</w:t>
      </w:r>
    </w:p>
    <w:p w14:paraId="6469529E" w14:textId="77777777" w:rsidR="00A81563" w:rsidRDefault="00A81563" w:rsidP="00A81563">
      <w:pPr>
        <w:pStyle w:val="Prrafodelista"/>
        <w:rPr>
          <w:rFonts w:ascii="AvantGarde Bk BT" w:hAnsi="AvantGarde Bk BT"/>
          <w:sz w:val="20"/>
          <w:szCs w:val="20"/>
        </w:rPr>
      </w:pPr>
    </w:p>
    <w:p w14:paraId="40B04DF1" w14:textId="43166E87"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EC5C9B">
        <w:rPr>
          <w:rFonts w:ascii="AvantGarde Bk BT" w:hAnsi="AvantGarde Bk BT"/>
          <w:sz w:val="20"/>
          <w:szCs w:val="20"/>
        </w:rPr>
        <w:t>26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EC5C9B">
        <w:rPr>
          <w:rFonts w:ascii="AvantGarde Bk BT" w:hAnsi="AvantGarde Bk BT"/>
          <w:sz w:val="20"/>
          <w:szCs w:val="20"/>
        </w:rPr>
        <w:t>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3B3FB83C"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B12A8C">
        <w:rPr>
          <w:rFonts w:ascii="AvantGarde Bk BT" w:hAnsi="AvantGarde Bk BT"/>
          <w:sz w:val="20"/>
          <w:szCs w:val="20"/>
        </w:rPr>
        <w:t xml:space="preserve"> la C. </w:t>
      </w:r>
      <w:r w:rsidR="00EC5C9B">
        <w:rPr>
          <w:rFonts w:ascii="AvantGarde Bk BT" w:hAnsi="AvantGarde Bk BT"/>
          <w:sz w:val="20"/>
          <w:szCs w:val="20"/>
        </w:rPr>
        <w:t xml:space="preserve">GEORGINA AMEZTLI RAMIREZ HORTA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5BF9723B"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EC5C9B">
        <w:rPr>
          <w:rFonts w:ascii="AvantGarde Bk BT" w:hAnsi="AvantGarde Bk BT"/>
          <w:color w:val="000000" w:themeColor="text1"/>
          <w:sz w:val="20"/>
          <w:szCs w:val="20"/>
        </w:rPr>
        <w:t xml:space="preserve">iniciar el </w:t>
      </w:r>
      <w:r w:rsidR="00BD648A" w:rsidRPr="00CE12AE">
        <w:rPr>
          <w:rFonts w:ascii="AvantGarde Bk BT" w:hAnsi="AvantGarde Bk BT"/>
          <w:color w:val="000000" w:themeColor="text1"/>
          <w:sz w:val="20"/>
          <w:szCs w:val="20"/>
        </w:rPr>
        <w:t xml:space="preserve">programa </w:t>
      </w:r>
      <w:r w:rsidR="005E2CC8" w:rsidRPr="00CE12AE">
        <w:rPr>
          <w:rFonts w:ascii="AvantGarde Bk BT" w:hAnsi="AvantGarde Bk BT"/>
          <w:bCs/>
          <w:sz w:val="20"/>
          <w:szCs w:val="20"/>
        </w:rPr>
        <w:t>de</w:t>
      </w:r>
      <w:r w:rsidR="00B12A8C">
        <w:rPr>
          <w:rFonts w:ascii="AvantGarde Bk BT" w:hAnsi="AvantGarde Bk BT"/>
          <w:bCs/>
          <w:sz w:val="20"/>
          <w:szCs w:val="20"/>
        </w:rPr>
        <w:t xml:space="preserve"> M</w:t>
      </w:r>
      <w:r w:rsidR="00EC5C9B">
        <w:rPr>
          <w:rFonts w:ascii="AvantGarde Bk BT" w:hAnsi="AvantGarde Bk BT"/>
          <w:bCs/>
          <w:sz w:val="20"/>
          <w:szCs w:val="20"/>
        </w:rPr>
        <w:t xml:space="preserve">A </w:t>
      </w:r>
      <w:proofErr w:type="spellStart"/>
      <w:r w:rsidR="00EC5C9B">
        <w:rPr>
          <w:rFonts w:ascii="AvantGarde Bk BT" w:hAnsi="AvantGarde Bk BT"/>
          <w:bCs/>
          <w:sz w:val="20"/>
          <w:szCs w:val="20"/>
        </w:rPr>
        <w:t>Theatre</w:t>
      </w:r>
      <w:proofErr w:type="spellEnd"/>
      <w:r w:rsidR="00EC5C9B">
        <w:rPr>
          <w:rFonts w:ascii="AvantGarde Bk BT" w:hAnsi="AvantGarde Bk BT"/>
          <w:bCs/>
          <w:sz w:val="20"/>
          <w:szCs w:val="20"/>
        </w:rPr>
        <w:t xml:space="preserve"> and </w:t>
      </w:r>
      <w:proofErr w:type="spellStart"/>
      <w:r w:rsidR="00EC5C9B">
        <w:rPr>
          <w:rFonts w:ascii="AvantGarde Bk BT" w:hAnsi="AvantGarde Bk BT"/>
          <w:bCs/>
          <w:sz w:val="20"/>
          <w:szCs w:val="20"/>
        </w:rPr>
        <w:t>Performative</w:t>
      </w:r>
      <w:proofErr w:type="spellEnd"/>
      <w:r w:rsidR="00EC5C9B">
        <w:rPr>
          <w:rFonts w:ascii="AvantGarde Bk BT" w:hAnsi="AvantGarde Bk BT"/>
          <w:bCs/>
          <w:sz w:val="20"/>
          <w:szCs w:val="20"/>
        </w:rPr>
        <w:t xml:space="preserve"> </w:t>
      </w:r>
      <w:proofErr w:type="spellStart"/>
      <w:r w:rsidR="00EC5C9B">
        <w:rPr>
          <w:rFonts w:ascii="AvantGarde Bk BT" w:hAnsi="AvantGarde Bk BT"/>
          <w:bCs/>
          <w:sz w:val="20"/>
          <w:szCs w:val="20"/>
        </w:rPr>
        <w:t>Practices</w:t>
      </w:r>
      <w:proofErr w:type="spellEnd"/>
      <w:r w:rsidR="00EC5C9B">
        <w:rPr>
          <w:rFonts w:ascii="AvantGarde Bk BT" w:hAnsi="AvantGarde Bk BT"/>
          <w:bCs/>
          <w:sz w:val="20"/>
          <w:szCs w:val="20"/>
        </w:rPr>
        <w:t xml:space="preserve"> en </w:t>
      </w:r>
      <w:proofErr w:type="spellStart"/>
      <w:r w:rsidR="00EC5C9B">
        <w:rPr>
          <w:rFonts w:ascii="AvantGarde Bk BT" w:hAnsi="AvantGarde Bk BT"/>
          <w:bCs/>
          <w:sz w:val="20"/>
          <w:szCs w:val="20"/>
        </w:rPr>
        <w:t>University</w:t>
      </w:r>
      <w:proofErr w:type="spellEnd"/>
      <w:r w:rsidR="00EC5C9B">
        <w:rPr>
          <w:rFonts w:ascii="AvantGarde Bk BT" w:hAnsi="AvantGarde Bk BT"/>
          <w:bCs/>
          <w:sz w:val="20"/>
          <w:szCs w:val="20"/>
        </w:rPr>
        <w:t xml:space="preserve"> </w:t>
      </w:r>
      <w:proofErr w:type="spellStart"/>
      <w:r w:rsidR="00EC5C9B">
        <w:rPr>
          <w:rFonts w:ascii="AvantGarde Bk BT" w:hAnsi="AvantGarde Bk BT"/>
          <w:bCs/>
          <w:sz w:val="20"/>
          <w:szCs w:val="20"/>
        </w:rPr>
        <w:t>College</w:t>
      </w:r>
      <w:proofErr w:type="spellEnd"/>
      <w:r w:rsidR="00EC5C9B">
        <w:rPr>
          <w:rFonts w:ascii="AvantGarde Bk BT" w:hAnsi="AvantGarde Bk BT"/>
          <w:bCs/>
          <w:sz w:val="20"/>
          <w:szCs w:val="20"/>
        </w:rPr>
        <w:t xml:space="preserve"> Cork, Irlanda</w:t>
      </w:r>
      <w:r w:rsidR="00A81563">
        <w:rPr>
          <w:rFonts w:ascii="AvantGarde Bk BT" w:hAnsi="AvantGarde Bk BT"/>
          <w:bCs/>
          <w:sz w:val="20"/>
          <w:szCs w:val="20"/>
        </w:rPr>
        <w:t xml:space="preserve">, </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EC5C9B">
        <w:rPr>
          <w:rFonts w:ascii="AvantGarde Bk BT" w:hAnsi="AvantGarde Bk BT"/>
          <w:sz w:val="20"/>
          <w:szCs w:val="20"/>
        </w:rPr>
        <w:t>13 de septiembre de 2021 y hasta el 12 de septiembre de 2022</w:t>
      </w:r>
      <w:r w:rsidR="00CB3C8F">
        <w:rPr>
          <w:rFonts w:ascii="AvantGarde Bk BT" w:hAnsi="AvantGarde Bk BT"/>
          <w:sz w:val="20"/>
          <w:szCs w:val="20"/>
        </w:rPr>
        <w:t>, a favor de</w:t>
      </w:r>
      <w:r w:rsidR="00A265D4">
        <w:rPr>
          <w:rFonts w:ascii="AvantGarde Bk BT" w:hAnsi="AvantGarde Bk BT"/>
          <w:sz w:val="20"/>
          <w:szCs w:val="20"/>
        </w:rPr>
        <w:t xml:space="preserve"> la C. </w:t>
      </w:r>
      <w:r w:rsidR="00EC5C9B">
        <w:rPr>
          <w:rFonts w:ascii="AvantGarde Bk BT" w:hAnsi="AvantGarde Bk BT"/>
          <w:sz w:val="20"/>
          <w:szCs w:val="20"/>
        </w:rPr>
        <w:t>GEORGINA AMEZTLI RAMIREZ HORTA</w:t>
      </w:r>
      <w:r w:rsidR="00CB3C8F">
        <w:rPr>
          <w:rFonts w:ascii="AvantGarde Bk BT" w:hAnsi="AvantGarde Bk BT"/>
          <w:sz w:val="20"/>
          <w:szCs w:val="20"/>
        </w:rPr>
        <w:t>.</w:t>
      </w:r>
    </w:p>
    <w:p w14:paraId="7C853F59" w14:textId="77777777" w:rsidR="00CB3C8F" w:rsidRDefault="00CB3C8F" w:rsidP="00655DCF">
      <w:pPr>
        <w:pStyle w:val="Prrafodelista"/>
        <w:ind w:left="0"/>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2B7D10DD" w:rsidR="00AC1B2E" w:rsidRDefault="00AC1B2E" w:rsidP="00AC1B2E">
      <w:pPr>
        <w:ind w:left="708"/>
        <w:rPr>
          <w:rFonts w:ascii="AvantGarde Bk BT" w:hAnsi="AvantGarde Bk BT"/>
          <w:spacing w:val="-3"/>
          <w:sz w:val="20"/>
          <w:szCs w:val="20"/>
        </w:rPr>
      </w:pPr>
    </w:p>
    <w:p w14:paraId="77FCCB45" w14:textId="5FC112F0" w:rsidR="00655DCF" w:rsidRDefault="00655DCF" w:rsidP="00AC1B2E">
      <w:pPr>
        <w:ind w:left="708"/>
        <w:rPr>
          <w:rFonts w:ascii="AvantGarde Bk BT" w:hAnsi="AvantGarde Bk BT"/>
          <w:spacing w:val="-3"/>
          <w:sz w:val="20"/>
          <w:szCs w:val="20"/>
        </w:rPr>
      </w:pPr>
    </w:p>
    <w:p w14:paraId="0D007A5A" w14:textId="77777777" w:rsidR="00655DCF" w:rsidRPr="00D40F0E" w:rsidRDefault="00655DCF"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078913CE" w14:textId="77777777" w:rsidR="00AB6E70"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a la C.</w:t>
      </w:r>
      <w:r w:rsidR="00EC5C9B">
        <w:rPr>
          <w:rFonts w:ascii="AvantGarde Bk BT" w:hAnsi="AvantGarde Bk BT"/>
          <w:spacing w:val="-3"/>
          <w:sz w:val="20"/>
          <w:szCs w:val="20"/>
          <w:lang w:val="es-ES_tradnl"/>
        </w:rPr>
        <w:t xml:space="preserve"> GEORGINA AMEZTLI RAMIREZ HORTA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iniciar el programa de MA </w:t>
      </w:r>
      <w:proofErr w:type="spellStart"/>
      <w:r w:rsidR="00AB6E70">
        <w:rPr>
          <w:rFonts w:ascii="AvantGarde Bk BT" w:hAnsi="AvantGarde Bk BT"/>
          <w:spacing w:val="-3"/>
          <w:sz w:val="20"/>
          <w:szCs w:val="20"/>
          <w:lang w:val="es-ES_tradnl"/>
        </w:rPr>
        <w:t>Theatre</w:t>
      </w:r>
      <w:proofErr w:type="spellEnd"/>
      <w:r w:rsidR="00AB6E70">
        <w:rPr>
          <w:rFonts w:ascii="AvantGarde Bk BT" w:hAnsi="AvantGarde Bk BT"/>
          <w:spacing w:val="-3"/>
          <w:sz w:val="20"/>
          <w:szCs w:val="20"/>
          <w:lang w:val="es-ES_tradnl"/>
        </w:rPr>
        <w:t xml:space="preserve"> and </w:t>
      </w:r>
      <w:proofErr w:type="spellStart"/>
      <w:r w:rsidR="00AB6E70">
        <w:rPr>
          <w:rFonts w:ascii="AvantGarde Bk BT" w:hAnsi="AvantGarde Bk BT"/>
          <w:spacing w:val="-3"/>
          <w:sz w:val="20"/>
          <w:szCs w:val="20"/>
          <w:lang w:val="es-ES_tradnl"/>
        </w:rPr>
        <w:t>Performative</w:t>
      </w:r>
      <w:proofErr w:type="spellEnd"/>
      <w:r w:rsidR="00AB6E70">
        <w:rPr>
          <w:rFonts w:ascii="AvantGarde Bk BT" w:hAnsi="AvantGarde Bk BT"/>
          <w:spacing w:val="-3"/>
          <w:sz w:val="20"/>
          <w:szCs w:val="20"/>
          <w:lang w:val="es-ES_tradnl"/>
        </w:rPr>
        <w:t xml:space="preserve"> </w:t>
      </w:r>
      <w:proofErr w:type="spellStart"/>
      <w:r w:rsidR="00AB6E70">
        <w:rPr>
          <w:rFonts w:ascii="AvantGarde Bk BT" w:hAnsi="AvantGarde Bk BT"/>
          <w:spacing w:val="-3"/>
          <w:sz w:val="20"/>
          <w:szCs w:val="20"/>
          <w:lang w:val="es-ES_tradnl"/>
        </w:rPr>
        <w:t>Practices</w:t>
      </w:r>
      <w:proofErr w:type="spellEnd"/>
      <w:r w:rsidR="00AB6E70">
        <w:rPr>
          <w:rFonts w:ascii="AvantGarde Bk BT" w:hAnsi="AvantGarde Bk BT"/>
          <w:spacing w:val="-3"/>
          <w:sz w:val="20"/>
          <w:szCs w:val="20"/>
          <w:lang w:val="es-ES_tradnl"/>
        </w:rPr>
        <w:t xml:space="preserve"> en </w:t>
      </w:r>
      <w:proofErr w:type="spellStart"/>
      <w:r w:rsidR="00AB6E70">
        <w:rPr>
          <w:rFonts w:ascii="AvantGarde Bk BT" w:hAnsi="AvantGarde Bk BT"/>
          <w:spacing w:val="-3"/>
          <w:sz w:val="20"/>
          <w:szCs w:val="20"/>
          <w:lang w:val="es-ES_tradnl"/>
        </w:rPr>
        <w:t>University</w:t>
      </w:r>
      <w:proofErr w:type="spellEnd"/>
      <w:r w:rsidR="00AB6E70">
        <w:rPr>
          <w:rFonts w:ascii="AvantGarde Bk BT" w:hAnsi="AvantGarde Bk BT"/>
          <w:spacing w:val="-3"/>
          <w:sz w:val="20"/>
          <w:szCs w:val="20"/>
          <w:lang w:val="es-ES_tradnl"/>
        </w:rPr>
        <w:t xml:space="preserve"> </w:t>
      </w:r>
      <w:proofErr w:type="spellStart"/>
      <w:r w:rsidR="00AB6E70">
        <w:rPr>
          <w:rFonts w:ascii="AvantGarde Bk BT" w:hAnsi="AvantGarde Bk BT"/>
          <w:spacing w:val="-3"/>
          <w:sz w:val="20"/>
          <w:szCs w:val="20"/>
          <w:lang w:val="es-ES_tradnl"/>
        </w:rPr>
        <w:t>College</w:t>
      </w:r>
      <w:proofErr w:type="spellEnd"/>
      <w:r w:rsidR="00AB6E70">
        <w:rPr>
          <w:rFonts w:ascii="AvantGarde Bk BT" w:hAnsi="AvantGarde Bk BT"/>
          <w:spacing w:val="-3"/>
          <w:sz w:val="20"/>
          <w:szCs w:val="20"/>
          <w:lang w:val="es-ES_tradnl"/>
        </w:rPr>
        <w:t xml:space="preserve"> Cork, Irlanda.</w:t>
      </w:r>
    </w:p>
    <w:p w14:paraId="5907D12B" w14:textId="39D2DFAB" w:rsidR="00CB3C8F" w:rsidRDefault="00D01F00" w:rsidP="00AC1B2E">
      <w:p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 </w:t>
      </w:r>
    </w:p>
    <w:p w14:paraId="67B6E5A4" w14:textId="1EEA8952"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AB6E70">
        <w:rPr>
          <w:rFonts w:ascii="AvantGarde Bk BT" w:hAnsi="AvantGarde Bk BT"/>
          <w:spacing w:val="-3"/>
          <w:sz w:val="20"/>
          <w:szCs w:val="20"/>
          <w:lang w:val="es-ES_tradnl"/>
        </w:rPr>
        <w:t>13 de septiembre de 2021 y hasta el 12 de septiembre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CD85E50"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AB6E70">
        <w:rPr>
          <w:rFonts w:ascii="AvantGarde Bk BT" w:hAnsi="AvantGarde Bk BT"/>
          <w:spacing w:val="-3"/>
          <w:sz w:val="20"/>
          <w:szCs w:val="20"/>
          <w:lang w:val="es-ES_tradnl"/>
        </w:rPr>
        <w:t>4</w:t>
      </w:r>
      <w:r w:rsidR="00FB07EA">
        <w:rPr>
          <w:rFonts w:ascii="AvantGarde Bk BT" w:hAnsi="AvantGarde Bk BT"/>
          <w:spacing w:val="-3"/>
          <w:sz w:val="20"/>
          <w:szCs w:val="20"/>
          <w:lang w:val="es-ES_tradnl"/>
        </w:rPr>
        <w:t>00 euros</w:t>
      </w:r>
      <w:r w:rsidR="009645CA">
        <w:rPr>
          <w:rFonts w:ascii="AvantGarde Bk BT" w:hAnsi="AvantGarde Bk BT"/>
          <w:spacing w:val="-3"/>
          <w:sz w:val="20"/>
          <w:szCs w:val="20"/>
          <w:lang w:val="es-ES_tradnl"/>
        </w:rPr>
        <w:t>;</w:t>
      </w:r>
    </w:p>
    <w:p w14:paraId="553E8D54" w14:textId="5F51F723"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5BE75A23"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46674400" w14:textId="3849E503" w:rsidR="00A81563" w:rsidRDefault="00AB6E70" w:rsidP="005A76C8">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793834" w:rsidRPr="00D01F00">
        <w:rPr>
          <w:rFonts w:ascii="AvantGarde Bk BT" w:hAnsi="AvantGarde Bk BT"/>
          <w:sz w:val="20"/>
          <w:szCs w:val="20"/>
        </w:rPr>
        <w:t>equivalente en moneda nacional</w:t>
      </w:r>
      <w:r w:rsidR="00D01F00" w:rsidRPr="00D01F00">
        <w:rPr>
          <w:rFonts w:ascii="AvantGarde Bk BT" w:hAnsi="AvantGarde Bk BT"/>
          <w:sz w:val="20"/>
          <w:szCs w:val="20"/>
        </w:rPr>
        <w:t xml:space="preserve"> </w:t>
      </w:r>
      <w:r>
        <w:rPr>
          <w:rFonts w:ascii="AvantGarde Bk BT" w:hAnsi="AvantGarde Bk BT"/>
          <w:sz w:val="20"/>
          <w:szCs w:val="20"/>
        </w:rPr>
        <w:t>12,864</w:t>
      </w:r>
      <w:r w:rsidR="00A265D4">
        <w:rPr>
          <w:rFonts w:ascii="AvantGarde Bk BT" w:hAnsi="AvantGarde Bk BT"/>
          <w:sz w:val="20"/>
          <w:szCs w:val="20"/>
        </w:rPr>
        <w:t xml:space="preserve"> euros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A81C36">
        <w:rPr>
          <w:rFonts w:ascii="AvantGarde Bk BT" w:hAnsi="AvantGarde Bk BT"/>
          <w:color w:val="000000" w:themeColor="text1"/>
          <w:sz w:val="20"/>
          <w:szCs w:val="20"/>
        </w:rPr>
        <w:t>de incremento</w:t>
      </w:r>
      <w:r w:rsidR="00CB3C8F" w:rsidRPr="00A81C36">
        <w:rPr>
          <w:rFonts w:ascii="AvantGarde Bk BT" w:hAnsi="AvantGarde Bk BT"/>
          <w:color w:val="000000" w:themeColor="text1"/>
          <w:sz w:val="20"/>
          <w:szCs w:val="20"/>
        </w:rPr>
        <w:t xml:space="preserve"> o disminución </w:t>
      </w:r>
      <w:r w:rsidR="006D44AB" w:rsidRPr="00A81C36">
        <w:rPr>
          <w:rFonts w:ascii="AvantGarde Bk BT" w:hAnsi="AvantGarde Bk BT"/>
          <w:color w:val="000000" w:themeColor="text1"/>
          <w:sz w:val="20"/>
          <w:szCs w:val="20"/>
        </w:rPr>
        <w:t xml:space="preserve">se </w:t>
      </w:r>
      <w:r w:rsidR="006D44AB" w:rsidRPr="00D01F00">
        <w:rPr>
          <w:rFonts w:ascii="AvantGarde Bk BT" w:hAnsi="AvantGarde Bk BT"/>
          <w:sz w:val="20"/>
          <w:szCs w:val="20"/>
        </w:rPr>
        <w:t>deberá presentar el documento oficial que justifique la actualización para</w:t>
      </w:r>
      <w:r w:rsidR="001D3420">
        <w:rPr>
          <w:rFonts w:ascii="AvantGarde Bk BT" w:hAnsi="AvantGarde Bk BT"/>
          <w:sz w:val="20"/>
          <w:szCs w:val="20"/>
        </w:rPr>
        <w:t xml:space="preserve"> la gestión del pago respectivo;</w:t>
      </w:r>
      <w:r w:rsidR="00A265D4">
        <w:rPr>
          <w:rFonts w:ascii="AvantGarde Bk BT" w:hAnsi="AvantGarde Bk BT"/>
          <w:sz w:val="20"/>
          <w:szCs w:val="20"/>
        </w:rPr>
        <w:t xml:space="preserve"> </w:t>
      </w:r>
    </w:p>
    <w:p w14:paraId="62500791" w14:textId="47F40373" w:rsidR="00A81563" w:rsidRDefault="00A81563" w:rsidP="005A76C8">
      <w:pPr>
        <w:numPr>
          <w:ilvl w:val="0"/>
          <w:numId w:val="13"/>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570CA809" w14:textId="4E9B93F5"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A81563">
        <w:rPr>
          <w:rFonts w:ascii="AvantGarde Bk BT" w:hAnsi="AvantGarde Bk BT"/>
          <w:spacing w:val="-3"/>
          <w:sz w:val="20"/>
          <w:szCs w:val="20"/>
          <w:lang w:val="es-ES_tradnl"/>
        </w:rPr>
        <w:t xml:space="preserve">ida hasta $25,000.00 M.N. y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26DE2726" w14:textId="77777777" w:rsidR="00506F67" w:rsidRPr="00D71110" w:rsidRDefault="00506F67" w:rsidP="00506F67">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6F61B7F2"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A265D4">
        <w:rPr>
          <w:rFonts w:ascii="AvantGarde Bk BT" w:hAnsi="AvantGarde Bk BT"/>
          <w:sz w:val="20"/>
          <w:szCs w:val="20"/>
        </w:rPr>
        <w:t xml:space="preserve">La C. </w:t>
      </w:r>
      <w:r w:rsidR="00AB6E70">
        <w:rPr>
          <w:rFonts w:ascii="AvantGarde Bk BT" w:hAnsi="AvantGarde Bk BT"/>
          <w:sz w:val="20"/>
          <w:szCs w:val="20"/>
        </w:rPr>
        <w:t>GEORGINA AMEZTLI RAMIREZ HORTA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AB6E70">
        <w:rPr>
          <w:rFonts w:ascii="AvantGarde Bk BT" w:hAnsi="AvantGarde Bk BT"/>
          <w:sz w:val="20"/>
          <w:szCs w:val="20"/>
        </w:rPr>
        <w:t>Arte, Arquitectura y Diseño</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0A1D88D6"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w:t>
      </w:r>
      <w:r w:rsidR="00AB6E70">
        <w:rPr>
          <w:rFonts w:ascii="AvantGarde Bk BT" w:hAnsi="AvantGarde Bk BT"/>
          <w:sz w:val="20"/>
          <w:szCs w:val="20"/>
        </w:rPr>
        <w:t>Arte, Arquitectura y Diseño</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5C65A146"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A265D4">
        <w:rPr>
          <w:rFonts w:ascii="AvantGarde Bk BT" w:hAnsi="AvantGarde Bk BT"/>
          <w:sz w:val="20"/>
          <w:szCs w:val="20"/>
        </w:rPr>
        <w:t xml:space="preserve">la C. </w:t>
      </w:r>
      <w:r w:rsidR="00AB6E70">
        <w:rPr>
          <w:rFonts w:ascii="AvantGarde Bk BT" w:hAnsi="AvantGarde Bk BT"/>
          <w:sz w:val="20"/>
          <w:szCs w:val="20"/>
        </w:rPr>
        <w:t>GEORGINA AMEZTLI RAMIREZ HORTA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1BD977AC" w14:textId="77777777" w:rsidR="00655DCF" w:rsidRDefault="00655DCF" w:rsidP="00655DCF">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00D0BC28" w14:textId="77777777" w:rsidR="00655DCF" w:rsidRDefault="00655DCF" w:rsidP="00655DCF">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62CF069F" w14:textId="77777777" w:rsidR="00655DCF" w:rsidRDefault="00655DCF" w:rsidP="0065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3B3DF587" w14:textId="4FD9DDE5" w:rsidR="00655DCF" w:rsidRDefault="00655DCF" w:rsidP="00655DCF">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B96500">
        <w:rPr>
          <w:rFonts w:ascii="AvantGarde Bk BT" w:hAnsi="AvantGarde Bk BT"/>
          <w:sz w:val="20"/>
          <w:szCs w:val="20"/>
        </w:rPr>
        <w:t>4 de octubre</w:t>
      </w:r>
      <w:r w:rsidR="00B96500">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53011355" w14:textId="77777777" w:rsidR="00655DCF" w:rsidRDefault="00655DCF" w:rsidP="00655DCF">
      <w:pPr>
        <w:tabs>
          <w:tab w:val="center" w:pos="4393"/>
          <w:tab w:val="left" w:pos="7200"/>
        </w:tabs>
        <w:suppressAutoHyphens/>
        <w:jc w:val="center"/>
        <w:rPr>
          <w:rFonts w:ascii="AvantGarde Bk BT" w:hAnsi="AvantGarde Bk BT"/>
          <w:b/>
          <w:spacing w:val="-3"/>
          <w:sz w:val="20"/>
          <w:szCs w:val="20"/>
        </w:rPr>
      </w:pPr>
    </w:p>
    <w:p w14:paraId="6B4F952B" w14:textId="77777777" w:rsidR="00655DCF" w:rsidRDefault="00655DCF" w:rsidP="00655DCF">
      <w:pPr>
        <w:tabs>
          <w:tab w:val="center" w:pos="4393"/>
          <w:tab w:val="left" w:pos="7200"/>
        </w:tabs>
        <w:suppressAutoHyphens/>
        <w:jc w:val="center"/>
        <w:rPr>
          <w:rFonts w:ascii="AvantGarde Bk BT" w:hAnsi="AvantGarde Bk BT"/>
          <w:b/>
          <w:spacing w:val="-3"/>
          <w:sz w:val="20"/>
          <w:szCs w:val="20"/>
        </w:rPr>
      </w:pPr>
    </w:p>
    <w:p w14:paraId="671A8509" w14:textId="77777777" w:rsidR="00655DCF" w:rsidRDefault="00655DCF" w:rsidP="00655DCF">
      <w:pPr>
        <w:tabs>
          <w:tab w:val="center" w:pos="4393"/>
          <w:tab w:val="left" w:pos="7200"/>
        </w:tabs>
        <w:suppressAutoHyphens/>
        <w:jc w:val="center"/>
        <w:rPr>
          <w:rFonts w:ascii="AvantGarde Bk BT" w:hAnsi="AvantGarde Bk BT"/>
          <w:b/>
          <w:spacing w:val="-3"/>
          <w:sz w:val="20"/>
          <w:szCs w:val="20"/>
        </w:rPr>
      </w:pPr>
    </w:p>
    <w:p w14:paraId="7F6E9231" w14:textId="77777777" w:rsidR="00655DCF" w:rsidRDefault="00655DCF" w:rsidP="00655DCF">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4FEB5F88" w14:textId="77777777" w:rsidR="00655DCF" w:rsidRDefault="00655DCF" w:rsidP="00655DCF">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13BCB675" w14:textId="77777777" w:rsidR="00655DCF" w:rsidRDefault="00655DCF" w:rsidP="00655DCF">
      <w:pPr>
        <w:rPr>
          <w:rFonts w:ascii="AvantGarde Bk BT" w:hAnsi="AvantGarde Bk BT"/>
          <w:sz w:val="20"/>
          <w:szCs w:val="20"/>
        </w:rPr>
      </w:pPr>
    </w:p>
    <w:p w14:paraId="49B05602" w14:textId="77777777" w:rsidR="00655DCF" w:rsidRDefault="00655DCF" w:rsidP="00655DCF">
      <w:pPr>
        <w:rPr>
          <w:rFonts w:ascii="AvantGarde Bk BT" w:hAnsi="AvantGarde Bk BT"/>
          <w:sz w:val="20"/>
          <w:szCs w:val="20"/>
        </w:rPr>
      </w:pPr>
    </w:p>
    <w:p w14:paraId="0CE06AB7" w14:textId="77777777" w:rsidR="00655DCF" w:rsidRDefault="00655DCF" w:rsidP="00655DCF">
      <w:pPr>
        <w:rPr>
          <w:rFonts w:ascii="AvantGarde Bk BT" w:hAnsi="AvantGarde Bk BT"/>
          <w:sz w:val="20"/>
          <w:szCs w:val="20"/>
        </w:rPr>
      </w:pPr>
    </w:p>
    <w:p w14:paraId="186A95BF" w14:textId="77777777" w:rsidR="00655DCF" w:rsidRDefault="00655DCF" w:rsidP="00655DCF">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4BFF7AC1" w14:textId="77777777" w:rsidR="00655DCF" w:rsidRDefault="00655DCF" w:rsidP="00655DCF">
      <w:pPr>
        <w:jc w:val="center"/>
        <w:rPr>
          <w:rFonts w:ascii="AvantGarde Bk BT" w:hAnsi="AvantGarde Bk BT"/>
          <w:sz w:val="20"/>
          <w:szCs w:val="20"/>
        </w:rPr>
      </w:pPr>
    </w:p>
    <w:p w14:paraId="23152B10" w14:textId="77777777" w:rsidR="00655DCF" w:rsidRDefault="00655DCF" w:rsidP="00655DCF">
      <w:pPr>
        <w:jc w:val="center"/>
        <w:rPr>
          <w:rFonts w:ascii="AvantGarde Bk BT" w:hAnsi="AvantGarde Bk BT"/>
          <w:sz w:val="20"/>
          <w:szCs w:val="20"/>
        </w:rPr>
      </w:pPr>
    </w:p>
    <w:p w14:paraId="7E21BC55" w14:textId="77777777" w:rsidR="00655DCF" w:rsidRDefault="00655DCF" w:rsidP="00655DCF">
      <w:pPr>
        <w:jc w:val="center"/>
        <w:rPr>
          <w:rFonts w:ascii="AvantGarde Bk BT" w:hAnsi="AvantGarde Bk BT"/>
          <w:sz w:val="20"/>
          <w:szCs w:val="20"/>
        </w:rPr>
      </w:pPr>
    </w:p>
    <w:p w14:paraId="6F42F992" w14:textId="77777777" w:rsidR="00655DCF" w:rsidRDefault="00655DCF" w:rsidP="00655DCF">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776D3711" w14:textId="77777777" w:rsidR="00655DCF" w:rsidRDefault="00655DCF" w:rsidP="00655DCF">
      <w:pPr>
        <w:rPr>
          <w:rFonts w:ascii="AvantGarde Bk BT" w:hAnsi="AvantGarde Bk BT"/>
          <w:sz w:val="20"/>
          <w:szCs w:val="20"/>
        </w:rPr>
      </w:pPr>
    </w:p>
    <w:p w14:paraId="33E69012" w14:textId="77777777" w:rsidR="00655DCF" w:rsidRDefault="00655DCF" w:rsidP="00655DCF">
      <w:pPr>
        <w:rPr>
          <w:rFonts w:ascii="AvantGarde Bk BT" w:hAnsi="AvantGarde Bk BT"/>
          <w:sz w:val="20"/>
          <w:szCs w:val="20"/>
        </w:rPr>
      </w:pPr>
    </w:p>
    <w:p w14:paraId="2F31D6FC" w14:textId="77777777" w:rsidR="00655DCF" w:rsidRDefault="00655DCF" w:rsidP="00655DCF">
      <w:pPr>
        <w:tabs>
          <w:tab w:val="center" w:pos="4393"/>
          <w:tab w:val="left" w:pos="7200"/>
        </w:tabs>
        <w:suppressAutoHyphens/>
        <w:jc w:val="center"/>
        <w:rPr>
          <w:rFonts w:ascii="AvantGarde Bk BT" w:hAnsi="AvantGarde Bk BT"/>
          <w:b/>
          <w:spacing w:val="-3"/>
          <w:sz w:val="20"/>
          <w:szCs w:val="20"/>
        </w:rPr>
      </w:pPr>
    </w:p>
    <w:p w14:paraId="013F69E9" w14:textId="77777777" w:rsidR="00655DCF" w:rsidRDefault="00655DCF" w:rsidP="00655DCF">
      <w:pPr>
        <w:tabs>
          <w:tab w:val="center" w:pos="4393"/>
          <w:tab w:val="left" w:pos="7200"/>
        </w:tabs>
        <w:suppressAutoHyphens/>
        <w:jc w:val="center"/>
        <w:rPr>
          <w:rFonts w:ascii="AvantGarde Bk BT" w:hAnsi="AvantGarde Bk BT"/>
          <w:b/>
          <w:spacing w:val="-3"/>
          <w:sz w:val="20"/>
          <w:szCs w:val="20"/>
        </w:rPr>
      </w:pPr>
    </w:p>
    <w:p w14:paraId="78CEC2E4" w14:textId="77777777" w:rsidR="00655DCF" w:rsidRDefault="00655DCF" w:rsidP="00655DCF">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2F17AE53" w14:textId="77777777" w:rsidR="00655DCF" w:rsidRDefault="00655DCF" w:rsidP="00655DCF">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3A877128" w14:textId="77777777" w:rsidR="00655DCF" w:rsidRDefault="00655DCF" w:rsidP="00655DCF">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55DCF">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BD456" w14:textId="77777777" w:rsidR="00F46E62" w:rsidRDefault="00F46E62" w:rsidP="00C85DA2">
      <w:r>
        <w:separator/>
      </w:r>
    </w:p>
  </w:endnote>
  <w:endnote w:type="continuationSeparator" w:id="0">
    <w:p w14:paraId="61F6474C" w14:textId="77777777" w:rsidR="00F46E62" w:rsidRDefault="00F46E6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870292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96500">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9650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343F4" w14:textId="77777777" w:rsidR="00F46E62" w:rsidRDefault="00F46E62" w:rsidP="00C85DA2">
      <w:r>
        <w:separator/>
      </w:r>
    </w:p>
  </w:footnote>
  <w:footnote w:type="continuationSeparator" w:id="0">
    <w:p w14:paraId="6EA5FF2A" w14:textId="77777777" w:rsidR="00F46E62" w:rsidRDefault="00F46E6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2E9575A"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655DCF">
      <w:rPr>
        <w:rFonts w:ascii="AvantGarde Bk BT" w:hAnsi="AvantGarde Bk BT"/>
        <w:noProof/>
        <w:sz w:val="16"/>
        <w:szCs w:val="16"/>
        <w:lang w:val="es-ES"/>
      </w:rPr>
      <w:t>583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100B8"/>
    <w:rsid w:val="00212A39"/>
    <w:rsid w:val="00220ADA"/>
    <w:rsid w:val="00220E9C"/>
    <w:rsid w:val="00225416"/>
    <w:rsid w:val="002255D9"/>
    <w:rsid w:val="00226E52"/>
    <w:rsid w:val="0022730D"/>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6F67"/>
    <w:rsid w:val="00507D06"/>
    <w:rsid w:val="00514655"/>
    <w:rsid w:val="00514ABD"/>
    <w:rsid w:val="0051754C"/>
    <w:rsid w:val="005211DB"/>
    <w:rsid w:val="00523458"/>
    <w:rsid w:val="005245AB"/>
    <w:rsid w:val="00526D5A"/>
    <w:rsid w:val="005374A9"/>
    <w:rsid w:val="00543763"/>
    <w:rsid w:val="0054445A"/>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1954"/>
    <w:rsid w:val="0064451D"/>
    <w:rsid w:val="00655DCF"/>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45C2"/>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6FFE"/>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4C43"/>
    <w:rsid w:val="00956FDE"/>
    <w:rsid w:val="009645CA"/>
    <w:rsid w:val="00966A7F"/>
    <w:rsid w:val="00966D91"/>
    <w:rsid w:val="00970890"/>
    <w:rsid w:val="009803B2"/>
    <w:rsid w:val="00992761"/>
    <w:rsid w:val="00995529"/>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265D4"/>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4A2D"/>
    <w:rsid w:val="00AB1C86"/>
    <w:rsid w:val="00AB543F"/>
    <w:rsid w:val="00AB6CD2"/>
    <w:rsid w:val="00AB6E70"/>
    <w:rsid w:val="00AB78F1"/>
    <w:rsid w:val="00AC1AC4"/>
    <w:rsid w:val="00AC1B2E"/>
    <w:rsid w:val="00AD11E1"/>
    <w:rsid w:val="00AD2BD6"/>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94455"/>
    <w:rsid w:val="00B9511F"/>
    <w:rsid w:val="00B96500"/>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2D6"/>
    <w:rsid w:val="00CE0F4A"/>
    <w:rsid w:val="00CE12AE"/>
    <w:rsid w:val="00CE4DA5"/>
    <w:rsid w:val="00CE6AE0"/>
    <w:rsid w:val="00CF4DEA"/>
    <w:rsid w:val="00D00A1F"/>
    <w:rsid w:val="00D01F00"/>
    <w:rsid w:val="00D115E2"/>
    <w:rsid w:val="00D12ECE"/>
    <w:rsid w:val="00D16F1C"/>
    <w:rsid w:val="00D207DE"/>
    <w:rsid w:val="00D26506"/>
    <w:rsid w:val="00D359E6"/>
    <w:rsid w:val="00D4107C"/>
    <w:rsid w:val="00D4194B"/>
    <w:rsid w:val="00D447B9"/>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681"/>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C5C9B"/>
    <w:rsid w:val="00ED2BED"/>
    <w:rsid w:val="00ED71CA"/>
    <w:rsid w:val="00F007A3"/>
    <w:rsid w:val="00F03CCA"/>
    <w:rsid w:val="00F15E06"/>
    <w:rsid w:val="00F22573"/>
    <w:rsid w:val="00F352D8"/>
    <w:rsid w:val="00F41657"/>
    <w:rsid w:val="00F43D34"/>
    <w:rsid w:val="00F45B71"/>
    <w:rsid w:val="00F46E62"/>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5DCF"/>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5559">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EFA9-EB7A-4A13-9BCA-10E045AC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1496</Words>
  <Characters>8229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14</cp:revision>
  <cp:lastPrinted>2020-08-05T18:04:00Z</cp:lastPrinted>
  <dcterms:created xsi:type="dcterms:W3CDTF">2021-07-19T20:00:00Z</dcterms:created>
  <dcterms:modified xsi:type="dcterms:W3CDTF">2021-10-04T18:40:00Z</dcterms:modified>
</cp:coreProperties>
</file>