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287" w:rsidRDefault="00AC2287" w:rsidP="00670A3D">
      <w:pPr>
        <w:pStyle w:val="Ttulo1"/>
        <w:jc w:val="both"/>
        <w:rPr>
          <w:rFonts w:ascii="AvantGarde Bk BT" w:hAnsi="AvantGarde Bk BT" w:cs="Arial"/>
          <w:lang w:val="es-MX"/>
        </w:rPr>
      </w:pPr>
    </w:p>
    <w:p w:rsidR="00AC2287" w:rsidRDefault="00AC2287" w:rsidP="00670A3D">
      <w:pPr>
        <w:pStyle w:val="Ttulo1"/>
        <w:jc w:val="both"/>
        <w:rPr>
          <w:rFonts w:ascii="AvantGarde Bk BT" w:hAnsi="AvantGarde Bk BT" w:cs="Arial"/>
          <w:lang w:val="es-MX"/>
        </w:rPr>
      </w:pPr>
    </w:p>
    <w:p w:rsidR="00AC2287" w:rsidRDefault="00AC2287" w:rsidP="00670A3D">
      <w:pPr>
        <w:pStyle w:val="Ttulo1"/>
        <w:jc w:val="both"/>
        <w:rPr>
          <w:rFonts w:ascii="AvantGarde Bk BT" w:hAnsi="AvantGarde Bk BT" w:cs="Arial"/>
          <w:lang w:val="es-MX"/>
        </w:rPr>
      </w:pPr>
    </w:p>
    <w:p w:rsidR="00AC2287" w:rsidRDefault="00AC2287" w:rsidP="00670A3D">
      <w:pPr>
        <w:pStyle w:val="Ttulo1"/>
        <w:jc w:val="both"/>
        <w:rPr>
          <w:rFonts w:ascii="AvantGarde Bk BT" w:hAnsi="AvantGarde Bk BT" w:cs="Arial"/>
          <w:lang w:val="es-MX"/>
        </w:rPr>
      </w:pPr>
    </w:p>
    <w:p w:rsidR="00F61024" w:rsidRPr="00FD5641" w:rsidRDefault="00F61024" w:rsidP="00670A3D">
      <w:pPr>
        <w:pStyle w:val="Ttulo1"/>
        <w:jc w:val="both"/>
        <w:rPr>
          <w:rFonts w:ascii="AvantGarde Bk BT" w:hAnsi="AvantGarde Bk BT" w:cs="Arial"/>
          <w:lang w:val="es-MX"/>
        </w:rPr>
      </w:pPr>
      <w:r>
        <w:rPr>
          <w:rFonts w:ascii="AvantGarde Bk BT" w:hAnsi="AvantGarde Bk BT" w:cs="Arial"/>
          <w:lang w:val="es-MX"/>
        </w:rPr>
        <w:t>H</w:t>
      </w:r>
      <w:r w:rsidRPr="00FD5641">
        <w:rPr>
          <w:rFonts w:ascii="AvantGarde Bk BT" w:hAnsi="AvantGarde Bk BT" w:cs="Arial"/>
          <w:lang w:val="es-MX"/>
        </w:rPr>
        <w:t>. CONSEJO GENERAL UNIVERSITARIO</w:t>
      </w:r>
    </w:p>
    <w:p w:rsidR="00F61024" w:rsidRPr="00FD5641" w:rsidRDefault="00F61024" w:rsidP="00670A3D">
      <w:pPr>
        <w:rPr>
          <w:rFonts w:ascii="AvantGarde Bk BT" w:hAnsi="AvantGarde Bk BT" w:cs="Arial"/>
          <w:b/>
          <w:sz w:val="20"/>
          <w:szCs w:val="20"/>
        </w:rPr>
      </w:pPr>
      <w:r w:rsidRPr="00FD5641">
        <w:rPr>
          <w:rFonts w:ascii="AvantGarde Bk BT" w:hAnsi="AvantGarde Bk BT" w:cs="Arial"/>
          <w:b/>
          <w:sz w:val="20"/>
          <w:szCs w:val="20"/>
        </w:rPr>
        <w:t>PRESENTE</w:t>
      </w:r>
    </w:p>
    <w:p w:rsidR="00F61024" w:rsidRPr="00FD5641" w:rsidRDefault="00F61024" w:rsidP="00670A3D">
      <w:pPr>
        <w:rPr>
          <w:rFonts w:ascii="AvantGarde Bk BT" w:hAnsi="AvantGarde Bk BT" w:cs="Arial"/>
          <w:sz w:val="20"/>
          <w:szCs w:val="20"/>
        </w:rPr>
      </w:pPr>
    </w:p>
    <w:p w:rsidR="00F61024" w:rsidRPr="00FD5641" w:rsidRDefault="00F61024" w:rsidP="00670A3D">
      <w:pPr>
        <w:jc w:val="both"/>
        <w:rPr>
          <w:rFonts w:ascii="AvantGarde Bk BT" w:hAnsi="AvantGarde Bk BT" w:cs="Arial"/>
          <w:sz w:val="20"/>
          <w:szCs w:val="20"/>
        </w:rPr>
      </w:pPr>
      <w:r w:rsidRPr="00FD5641">
        <w:rPr>
          <w:rFonts w:ascii="AvantGarde Bk BT" w:hAnsi="AvantGarde Bk BT" w:cs="Arial"/>
          <w:sz w:val="20"/>
          <w:szCs w:val="20"/>
        </w:rPr>
        <w:t xml:space="preserve">A estas Comisiones Permanentes de Educación y de Hacienda ha sido turnado el Dictamen No. I/273/2021, en el que el Centro Universitario de Ciencias Económico Administrativas, propone la creación del </w:t>
      </w:r>
      <w:r w:rsidRPr="00FD5641">
        <w:rPr>
          <w:rFonts w:ascii="AvantGarde Bk BT" w:hAnsi="AvantGarde Bk BT" w:cs="Arial"/>
          <w:b/>
          <w:sz w:val="20"/>
          <w:szCs w:val="20"/>
        </w:rPr>
        <w:t>Centro de Estudios de la Hacienda Pública</w:t>
      </w:r>
      <w:r w:rsidRPr="00FD5641">
        <w:rPr>
          <w:rFonts w:ascii="AvantGarde Bk BT" w:hAnsi="AvantGarde Bk BT" w:cs="Arial"/>
          <w:sz w:val="20"/>
          <w:szCs w:val="20"/>
        </w:rPr>
        <w:t>,</w:t>
      </w:r>
      <w:r w:rsidRPr="00FD5641">
        <w:rPr>
          <w:rFonts w:ascii="AvantGarde Bk BT" w:hAnsi="AvantGarde Bk BT" w:cs="Arial"/>
          <w:b/>
          <w:sz w:val="20"/>
          <w:szCs w:val="20"/>
        </w:rPr>
        <w:t xml:space="preserve"> </w:t>
      </w:r>
      <w:r w:rsidRPr="00FD5641">
        <w:rPr>
          <w:rFonts w:ascii="AvantGarde Bk BT" w:hAnsi="AvantGarde Bk BT" w:cs="Arial"/>
          <w:sz w:val="20"/>
          <w:szCs w:val="20"/>
        </w:rPr>
        <w:t xml:space="preserve">conforme a los siguientes: </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t>ANTECEDENTES</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pStyle w:val="Prrafodelista"/>
        <w:numPr>
          <w:ilvl w:val="0"/>
          <w:numId w:val="14"/>
        </w:numPr>
        <w:tabs>
          <w:tab w:val="left" w:pos="-720"/>
        </w:tabs>
        <w:suppressAutoHyphens/>
        <w:contextualSpacing/>
        <w:jc w:val="both"/>
        <w:rPr>
          <w:rFonts w:ascii="AvantGarde Bk BT" w:hAnsi="AvantGarde Bk BT" w:cs="Arial"/>
          <w:sz w:val="20"/>
          <w:szCs w:val="20"/>
        </w:rPr>
      </w:pPr>
      <w:r w:rsidRPr="00FD5641">
        <w:rPr>
          <w:rFonts w:ascii="AvantGarde Bk BT" w:hAnsi="AvantGarde Bk BT" w:cs="Arial"/>
          <w:sz w:val="20"/>
          <w:szCs w:val="20"/>
        </w:rPr>
        <w:t>El Plan de Desarrollo Institucional 2019-2025, Visión 2030 de la Universidad de Guadalajara, establece como uno de sus propósitos sustantivos a la “investigación y transferencia tecnológica y del conocimiento” dentro de este propósito, una de las temáticas que se abordan es sobre la “investigación de frontera como impacto social” donde se pretende incrementar la colaboración entre investigadores que trabajan en Líneas de Generación y Aplicación del Conocimiento (LGAC) para la solución de problemáticas en los ámbitos regional, nacional e internacional a través de la innovación. En esta temática, una de las estrategias es formar recursos humanos de alto nivel para fortalecer la investigación en temas estratégicos.</w:t>
      </w:r>
    </w:p>
    <w:p w:rsidR="00F61024" w:rsidRPr="00FD5641" w:rsidRDefault="00F61024" w:rsidP="00670A3D">
      <w:pPr>
        <w:pStyle w:val="Prrafodelista"/>
        <w:tabs>
          <w:tab w:val="left" w:pos="-720"/>
        </w:tabs>
        <w:suppressAutoHyphens/>
        <w:ind w:left="720"/>
        <w:contextualSpacing/>
        <w:jc w:val="both"/>
        <w:rPr>
          <w:rFonts w:ascii="AvantGarde Bk BT" w:hAnsi="AvantGarde Bk BT" w:cs="Arial"/>
          <w:sz w:val="20"/>
          <w:szCs w:val="20"/>
        </w:rPr>
      </w:pPr>
    </w:p>
    <w:p w:rsidR="00F61024" w:rsidRPr="00FD5641" w:rsidRDefault="00F61024" w:rsidP="00670A3D">
      <w:pPr>
        <w:pStyle w:val="Prrafodelista"/>
        <w:numPr>
          <w:ilvl w:val="0"/>
          <w:numId w:val="15"/>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z w:val="20"/>
          <w:szCs w:val="20"/>
        </w:rPr>
        <w:t>Que la Universidad de Guadalajara, realiza investigaciones enfocadas en el desarrollo del conocimiento en diversos campos disciplinares e impulsa la investigación interdisciplinaria, colaborativa y de frontera a partir de una priorización de Líneas de Generación y Aplicación del Conocimiento de carácter institucional.</w:t>
      </w:r>
    </w:p>
    <w:p w:rsidR="00F61024" w:rsidRPr="00FD5641" w:rsidRDefault="00F61024" w:rsidP="00670A3D">
      <w:pPr>
        <w:pStyle w:val="Prrafodelista"/>
        <w:tabs>
          <w:tab w:val="left" w:pos="-720"/>
        </w:tabs>
        <w:suppressAutoHyphens/>
        <w:ind w:left="720"/>
        <w:contextualSpacing/>
        <w:jc w:val="both"/>
        <w:rPr>
          <w:rFonts w:ascii="AvantGarde Bk BT" w:hAnsi="AvantGarde Bk BT" w:cs="Arial"/>
          <w:spacing w:val="-2"/>
          <w:sz w:val="20"/>
          <w:szCs w:val="20"/>
        </w:rPr>
      </w:pPr>
    </w:p>
    <w:p w:rsidR="00F61024" w:rsidRPr="00FD5641" w:rsidRDefault="00F61024" w:rsidP="00670A3D">
      <w:pPr>
        <w:pStyle w:val="Prrafodelista"/>
        <w:numPr>
          <w:ilvl w:val="0"/>
          <w:numId w:val="15"/>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Que la normatividad Universitaria reconoce como Unidad Académica integrantes de un departamento, a los laboratorios, academias, centros de investigación e institutos que tiene por objeto realizar actividades de investigación.</w:t>
      </w:r>
    </w:p>
    <w:p w:rsidR="00F61024" w:rsidRPr="00FD5641" w:rsidRDefault="00F61024" w:rsidP="00670A3D">
      <w:pPr>
        <w:pStyle w:val="Prrafodelista"/>
        <w:rPr>
          <w:rFonts w:ascii="AvantGarde Bk BT" w:hAnsi="AvantGarde Bk BT" w:cs="Arial"/>
          <w:sz w:val="20"/>
          <w:szCs w:val="20"/>
        </w:rPr>
      </w:pPr>
    </w:p>
    <w:p w:rsidR="00F61024" w:rsidRPr="00FD5641" w:rsidRDefault="00F61024" w:rsidP="00670A3D">
      <w:pPr>
        <w:pStyle w:val="Prrafodelista"/>
        <w:numPr>
          <w:ilvl w:val="0"/>
          <w:numId w:val="15"/>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z w:val="20"/>
          <w:szCs w:val="20"/>
        </w:rPr>
        <w:t>Que el Consejo del Centro Universitario de Ciencias Económico Administrativas aprobó el dictamen No. I/273/2021, mediante el cual aprueba la creación del Centro de Estudios de la Hacienda Pública adscrito al Departamento de Impuestos de la División de Contaduría de dicho Centro Universitario.</w:t>
      </w:r>
    </w:p>
    <w:p w:rsidR="00F61024" w:rsidRPr="00FD5641" w:rsidRDefault="00F61024" w:rsidP="00670A3D">
      <w:pPr>
        <w:pStyle w:val="Prrafodelista"/>
        <w:rPr>
          <w:rFonts w:ascii="AvantGarde Bk BT" w:hAnsi="AvantGarde Bk BT" w:cs="Arial"/>
          <w:spacing w:val="-2"/>
          <w:sz w:val="20"/>
          <w:szCs w:val="20"/>
        </w:rPr>
      </w:pPr>
    </w:p>
    <w:p w:rsidR="00670A3D" w:rsidRPr="00920F3C" w:rsidRDefault="00F61024" w:rsidP="00670A3D">
      <w:pPr>
        <w:pStyle w:val="Prrafodelista"/>
        <w:numPr>
          <w:ilvl w:val="0"/>
          <w:numId w:val="15"/>
        </w:numPr>
        <w:jc w:val="both"/>
        <w:rPr>
          <w:rFonts w:ascii="AvantGarde Bk BT" w:hAnsi="AvantGarde Bk BT" w:cs="Arial"/>
          <w:spacing w:val="-2"/>
          <w:sz w:val="20"/>
          <w:szCs w:val="20"/>
        </w:rPr>
      </w:pPr>
      <w:r w:rsidRPr="00FD5641">
        <w:rPr>
          <w:rFonts w:ascii="AvantGarde Bk BT" w:hAnsi="AvantGarde Bk BT" w:cs="Arial"/>
          <w:spacing w:val="-2"/>
          <w:sz w:val="20"/>
          <w:szCs w:val="20"/>
        </w:rPr>
        <w:t>Tomando en consideración además que los ingresos tributarios, México es el país con más bajos ingresos tributarios del grupo de países de la OCDE con un 16.1% de su PIB, cuando el promedio ronda los 32 puntos del PIB, mientras que los gobiernos estales y municipales de México también son los que menos recaudan, aportando a la recaudación poco menos del 2% del PIB</w:t>
      </w:r>
      <w:r w:rsidR="00FA2BB8">
        <w:rPr>
          <w:rStyle w:val="Refdenotaalpie"/>
          <w:rFonts w:ascii="AvantGarde Bk BT" w:hAnsi="AvantGarde Bk BT" w:cs="Arial"/>
          <w:spacing w:val="-2"/>
          <w:sz w:val="20"/>
          <w:szCs w:val="20"/>
        </w:rPr>
        <w:footnoteReference w:id="1"/>
      </w:r>
      <w:r w:rsidRPr="00FD5641">
        <w:rPr>
          <w:rFonts w:ascii="AvantGarde Bk BT" w:hAnsi="AvantGarde Bk BT" w:cs="Arial"/>
          <w:spacing w:val="-2"/>
          <w:sz w:val="20"/>
          <w:szCs w:val="20"/>
        </w:rPr>
        <w:t xml:space="preserve">. </w:t>
      </w:r>
    </w:p>
    <w:p w:rsidR="00F61024" w:rsidRPr="00670A3D" w:rsidRDefault="00F61024" w:rsidP="00670A3D">
      <w:pPr>
        <w:ind w:left="360"/>
        <w:jc w:val="both"/>
        <w:rPr>
          <w:rFonts w:ascii="AvantGarde Bk BT" w:hAnsi="AvantGarde Bk BT" w:cs="Arial"/>
          <w:spacing w:val="-2"/>
          <w:sz w:val="20"/>
          <w:szCs w:val="20"/>
        </w:rPr>
      </w:pPr>
    </w:p>
    <w:p w:rsidR="00F61024" w:rsidRPr="00FD5641" w:rsidRDefault="00F61024" w:rsidP="00670A3D">
      <w:pPr>
        <w:rPr>
          <w:rFonts w:ascii="AvantGarde Bk BT" w:hAnsi="AvantGarde Bk BT" w:cs="Arial"/>
          <w:spacing w:val="-2"/>
          <w:sz w:val="20"/>
          <w:szCs w:val="20"/>
        </w:rPr>
      </w:pPr>
      <w:r w:rsidRPr="00FD5641">
        <w:rPr>
          <w:rFonts w:ascii="AvantGarde Bk BT" w:hAnsi="AvantGarde Bk BT" w:cs="Arial"/>
          <w:spacing w:val="-2"/>
          <w:sz w:val="20"/>
          <w:szCs w:val="20"/>
        </w:rPr>
        <w:br w:type="page"/>
      </w:r>
    </w:p>
    <w:p w:rsidR="00F61024" w:rsidRPr="00FD5641" w:rsidRDefault="00F61024" w:rsidP="00670A3D">
      <w:pPr>
        <w:pStyle w:val="Prrafodelista"/>
        <w:ind w:left="720"/>
        <w:jc w:val="both"/>
        <w:rPr>
          <w:rFonts w:ascii="AvantGarde Bk BT" w:hAnsi="AvantGarde Bk BT" w:cs="Arial"/>
          <w:spacing w:val="-2"/>
          <w:sz w:val="20"/>
          <w:szCs w:val="20"/>
        </w:rPr>
      </w:pPr>
    </w:p>
    <w:p w:rsidR="00670A3D" w:rsidRPr="00920F3C"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La desigualdad de ingresos entre las personas, medido a través del coeficiente de Gini, es una característica del mercado en todos los países del mundo; disminuirla a través de las transferencias de bienes y servicios públicos a su población es la tarea esencial de las haciendas públicas de los tres órdenes de gobierno. En este rubro, México (0.48) se caracteriza porque una vez aplicada la política fiscal (impuestos y transferencias) la desigualdad entre personas queda practicante intacta (0.46), situación diferente en países como Grecia (0.5), Francia (0.51) o Irlanda (0.49), donde la desigualdad disminuye a (0.30), (0.35) y (0.40) respectivamente; esto significa que las acciones de las haciendas públicas en México no funcionan. </w:t>
      </w:r>
      <w:bookmarkStart w:id="0" w:name="_GoBack"/>
      <w:bookmarkEnd w:id="0"/>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Los altos ingresos petroleros que históricamente ha tenido México desde la década de los ochentas del siglo pasado, pero sobre todo en el periodo 2005-2016 habían dejado fuera del foco de la discusión pública la necesidad de comprender la hacienda pública, la política fiscal y sus implicaciones sobre la calidad de vida de los ciudadanos. Se dejó fuera por décadas el análisis del gasto público, se hizo a un lado la teoría y se optó por la supremacía del reparto del gasto desde una perspectiva política. Se eliminaron del debate público los análisis ex-ante respecto a ingresos suficientes recurrentes antes de realizar gasto público, la necesidad de cuidar el patrimonio público, de manejar de forma prudente la deuda pública, etcétera.</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Al revisar las estadísticas y tendencias, existe una realidad apabullante de bajos ingresos petroleros con respecto a los ingresos totales, que sin fondos de ahorro con montos significativos frente a los billones de pesos excedentes que tuvo México, vuelve indispensable el investigar, registrar los datos, conocer, analizar, capacitar y luego discutir respecto al manejo de las Haciendas públicas de los tres órdenes de gobierno.</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Hoy, con cada vez más escasos recursos disponibles en los estados y municipios, y con mayores presiones de gasto, es imperante replantear las formas de administración de las haciendas públicas en esta nueva dinámica de bajos ingresos petroleros del país.</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Por diseño, el sistema de reparto de la recaudación entre federación, estados y municipios (</w:t>
      </w:r>
      <w:proofErr w:type="spellStart"/>
      <w:r w:rsidRPr="00FD5641">
        <w:rPr>
          <w:rFonts w:ascii="AvantGarde Bk BT" w:hAnsi="AvantGarde Bk BT" w:cs="Arial"/>
          <w:spacing w:val="-2"/>
          <w:sz w:val="20"/>
          <w:szCs w:val="20"/>
        </w:rPr>
        <w:t>revenue</w:t>
      </w:r>
      <w:proofErr w:type="spellEnd"/>
      <w:r w:rsidRPr="00FD5641">
        <w:rPr>
          <w:rFonts w:ascii="AvantGarde Bk BT" w:hAnsi="AvantGarde Bk BT" w:cs="Arial"/>
          <w:spacing w:val="-2"/>
          <w:sz w:val="20"/>
          <w:szCs w:val="20"/>
        </w:rPr>
        <w:t xml:space="preserve"> </w:t>
      </w:r>
      <w:proofErr w:type="spellStart"/>
      <w:r w:rsidRPr="00FD5641">
        <w:rPr>
          <w:rFonts w:ascii="AvantGarde Bk BT" w:hAnsi="AvantGarde Bk BT" w:cs="Arial"/>
          <w:spacing w:val="-2"/>
          <w:sz w:val="20"/>
          <w:szCs w:val="20"/>
        </w:rPr>
        <w:t>sharing</w:t>
      </w:r>
      <w:proofErr w:type="spellEnd"/>
      <w:r w:rsidRPr="00FD5641">
        <w:rPr>
          <w:rFonts w:ascii="AvantGarde Bk BT" w:hAnsi="AvantGarde Bk BT" w:cs="Arial"/>
          <w:spacing w:val="-2"/>
          <w:sz w:val="20"/>
          <w:szCs w:val="20"/>
        </w:rPr>
        <w:t>) permite a los estados recibir de la federación en promedio 89 centavos de cada peso que gastan; con ello, la federación cuenta con la responsabilidad de la recaudación en impuestos generales de la mayoría de los ingresos, mientras que los estados y municipios únicamente administran bases tributarias pequeñas. A su vez, los ingresos que recauda la federación en un porcentaje cercano al 30% provienen de ingresos petroleros, que hoy al no tenerlos hacen necesario revisar el actuar de las haciendas públicas locales, la administración tributaria, la forma cómo se gasta, los proyectos públicos en los que se invierten para el futuro, las deudas que se contratan y su uso, los sistemas de pensiones y, en general, el asegurar la sostenibilidad de las haciendas públicas de los estados y municipios en este nuevo contexto de reducciones de ingresos para los tres órdenes de gobierno.</w:t>
      </w:r>
    </w:p>
    <w:p w:rsidR="00F61024" w:rsidRPr="00FD5641" w:rsidRDefault="00F61024" w:rsidP="00670A3D">
      <w:pPr>
        <w:rPr>
          <w:rFonts w:ascii="AvantGarde Bk BT" w:hAnsi="AvantGarde Bk BT" w:cs="Arial"/>
          <w:spacing w:val="-2"/>
          <w:sz w:val="20"/>
          <w:szCs w:val="20"/>
        </w:rPr>
      </w:pPr>
      <w:r w:rsidRPr="00FD5641">
        <w:rPr>
          <w:rFonts w:ascii="AvantGarde Bk BT" w:hAnsi="AvantGarde Bk BT" w:cs="Arial"/>
          <w:spacing w:val="-2"/>
          <w:sz w:val="20"/>
          <w:szCs w:val="20"/>
        </w:rPr>
        <w:br w:type="page"/>
      </w: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lastRenderedPageBreak/>
        <w:t>Sobresale en este contexto, la necesidad de la sociedad de conocer qué es la hacienda pública: revisar desde el primer punto el proceso de asignación de recursos, evaluar los proyectos que aseguren una rentabilidad social antes de ejecutarlos y que los recursos públicos aseguren un cambio positivo en la calidad de vida del ciudadano.</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Lo alejado que se encuentran los conceptos, informes y mecanismos de seguimiento al ejercicio de las haciendas públicas, del ciudadano, hacen necesario que exista una institución pública que realice estas explicaciones realice las funciones que institucionalmente requiere en este momento la nueva realidad financiera del país. Un país con menores ingresos públicos, en sus principales fuentes históricas de ingresos, y que además no tiene posibilidad en el corto plazo de elevarlos, requiere instituciones que aporten soluciones a las nuevas problemáticas y fortalezcan la capacidad institucional de las haciendas públicas de los tres órdenes de gobierno. El análisis técnico desde un Programa dentro de una universidad pública potencia las posibilidades de otorgar valor público, asegura el no tener sesgos y resulta idóneo para resolver los nuevos desafíos. </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jc w:val="both"/>
        <w:rPr>
          <w:rFonts w:ascii="AvantGarde Bk BT" w:hAnsi="AvantGarde Bk BT" w:cs="Arial"/>
          <w:spacing w:val="-2"/>
          <w:sz w:val="20"/>
          <w:szCs w:val="20"/>
        </w:rPr>
      </w:pPr>
      <w:r w:rsidRPr="00FD5641">
        <w:rPr>
          <w:rFonts w:ascii="AvantGarde Bk BT" w:hAnsi="AvantGarde Bk BT" w:cs="Arial"/>
          <w:spacing w:val="-2"/>
          <w:sz w:val="20"/>
          <w:szCs w:val="20"/>
        </w:rPr>
        <w:t>Por definición, las haciendas públicas en todo el mundo se financian con recursos que extraen del ciclo económico a los sectores productivos. Una institución sin intereses partidistas y sin los compromisos naturales que generan centros de análisis financiados desde diferentes sectores de la economía es la única que puede tener independencia real, que se traduce en utilidad pública para el ciudadano.</w:t>
      </w:r>
    </w:p>
    <w:p w:rsidR="00F61024" w:rsidRPr="00FD5641" w:rsidRDefault="00F61024" w:rsidP="00670A3D">
      <w:pPr>
        <w:pStyle w:val="Prrafodelista"/>
        <w:tabs>
          <w:tab w:val="left" w:pos="-720"/>
        </w:tabs>
        <w:suppressAutoHyphens/>
        <w:ind w:left="720"/>
        <w:contextualSpacing/>
        <w:jc w:val="both"/>
        <w:rPr>
          <w:rFonts w:ascii="AvantGarde Bk BT" w:hAnsi="AvantGarde Bk BT" w:cs="Arial"/>
          <w:spacing w:val="-2"/>
          <w:sz w:val="20"/>
          <w:szCs w:val="20"/>
        </w:rPr>
      </w:pPr>
    </w:p>
    <w:p w:rsidR="00F61024" w:rsidRPr="00FD5641" w:rsidRDefault="00F61024" w:rsidP="00670A3D">
      <w:pPr>
        <w:pStyle w:val="Prrafodelista"/>
        <w:numPr>
          <w:ilvl w:val="0"/>
          <w:numId w:val="19"/>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El </w:t>
      </w:r>
      <w:r w:rsidRPr="00FD5641">
        <w:rPr>
          <w:rFonts w:ascii="AvantGarde Bk BT" w:hAnsi="AvantGarde Bk BT" w:cs="Arial"/>
          <w:b/>
          <w:spacing w:val="-2"/>
          <w:sz w:val="20"/>
          <w:szCs w:val="20"/>
        </w:rPr>
        <w:t>objetivo general</w:t>
      </w:r>
      <w:r w:rsidRPr="00FD5641">
        <w:rPr>
          <w:rFonts w:ascii="AvantGarde Bk BT" w:hAnsi="AvantGarde Bk BT" w:cs="Arial"/>
          <w:spacing w:val="-2"/>
          <w:sz w:val="20"/>
          <w:szCs w:val="20"/>
        </w:rPr>
        <w:t xml:space="preserve"> del programa es contribuir al conocimiento del ejercicio de las haciendas públicas, los ingresos, los gastos, la deuda, el patrimonio, la coordinación intergubernamental, la gestión de riesgos, la evaluación y la rendición de cuentas. Así como aportar documentos, análisis y estudios que permitan el debate público mediante la difusión y publicación de los productos de su agenda de investigación.</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9"/>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Que los </w:t>
      </w:r>
      <w:r w:rsidRPr="00FD5641">
        <w:rPr>
          <w:rFonts w:ascii="AvantGarde Bk BT" w:hAnsi="AvantGarde Bk BT" w:cs="Arial"/>
          <w:b/>
          <w:spacing w:val="-2"/>
          <w:sz w:val="20"/>
          <w:szCs w:val="20"/>
        </w:rPr>
        <w:t>objetivos específicos</w:t>
      </w:r>
      <w:r w:rsidRPr="00FD5641">
        <w:rPr>
          <w:rFonts w:ascii="AvantGarde Bk BT" w:hAnsi="AvantGarde Bk BT" w:cs="Arial"/>
          <w:spacing w:val="-2"/>
          <w:sz w:val="20"/>
          <w:szCs w:val="20"/>
        </w:rPr>
        <w:t xml:space="preserve"> del programa son:</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6"/>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Promover la formación y actualización de servidores públicos de alto nivel y compromiso social, así como de integrantes de la sociedad civil y del sector privado cuyas responsabilidades, intereses o activismo se encuentran relacionados con el manejo de los recursos públicos. </w:t>
      </w:r>
    </w:p>
    <w:p w:rsidR="00F61024" w:rsidRPr="00FD5641" w:rsidRDefault="00F61024" w:rsidP="00670A3D">
      <w:pPr>
        <w:pStyle w:val="Prrafodelista"/>
        <w:numPr>
          <w:ilvl w:val="0"/>
          <w:numId w:val="16"/>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Brindar asistencia técnica, en materia de hacienda pública, a los organismos públicos, privados y sociales que así lo soliciten.</w:t>
      </w:r>
    </w:p>
    <w:p w:rsidR="00F61024" w:rsidRPr="00FD5641" w:rsidRDefault="00F61024" w:rsidP="00670A3D">
      <w:pPr>
        <w:pStyle w:val="Prrafodelista"/>
        <w:numPr>
          <w:ilvl w:val="0"/>
          <w:numId w:val="16"/>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Contribuir a la conformación de redes de investigación entre centros, cuerpos académicos e investigadores de otros campus e instituciones que compartan la agenda de investigación del programa. </w:t>
      </w:r>
    </w:p>
    <w:p w:rsidR="00F61024" w:rsidRPr="00FD5641" w:rsidRDefault="00F61024" w:rsidP="00670A3D">
      <w:pPr>
        <w:pStyle w:val="Prrafodelista"/>
        <w:numPr>
          <w:ilvl w:val="0"/>
          <w:numId w:val="16"/>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El programa procurará beneficiar el trabajo interdepartamental entre diferentes unidades investigadoras del CUCEA y de la Red Universitaria cuya agenda se encuentre vinculada al sector público. </w:t>
      </w:r>
    </w:p>
    <w:p w:rsidR="00F61024" w:rsidRDefault="00F61024" w:rsidP="00670A3D">
      <w:pPr>
        <w:rPr>
          <w:rFonts w:ascii="AvantGarde Bk BT" w:hAnsi="AvantGarde Bk BT" w:cs="Arial"/>
          <w:sz w:val="20"/>
          <w:szCs w:val="20"/>
        </w:rPr>
      </w:pPr>
      <w:r>
        <w:rPr>
          <w:rFonts w:ascii="AvantGarde Bk BT" w:hAnsi="AvantGarde Bk BT" w:cs="Arial"/>
          <w:sz w:val="20"/>
          <w:szCs w:val="20"/>
        </w:rPr>
        <w:br w:type="page"/>
      </w:r>
    </w:p>
    <w:p w:rsidR="00F61024" w:rsidRPr="00FD5641" w:rsidRDefault="00F61024" w:rsidP="00670A3D">
      <w:pPr>
        <w:pStyle w:val="Prrafodelista"/>
        <w:rPr>
          <w:rFonts w:ascii="AvantGarde Bk BT" w:hAnsi="AvantGarde Bk BT" w:cs="Arial"/>
          <w:sz w:val="20"/>
          <w:szCs w:val="20"/>
        </w:rPr>
      </w:pPr>
    </w:p>
    <w:p w:rsidR="00F61024" w:rsidRPr="00FD5641" w:rsidRDefault="00F61024" w:rsidP="00670A3D">
      <w:pPr>
        <w:pStyle w:val="Prrafodelista"/>
        <w:numPr>
          <w:ilvl w:val="0"/>
          <w:numId w:val="19"/>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z w:val="20"/>
          <w:szCs w:val="20"/>
        </w:rPr>
        <w:t>Respecto de los requisitos de existencia del Centro de Estudios de la Hacienda Pública, que establece el artículo 15 del Estatuto General, resulta conveniente mencionar que se encuentran acreditados, conforme a lo siguiente:</w:t>
      </w:r>
    </w:p>
    <w:p w:rsidR="00F61024" w:rsidRPr="00FD5641" w:rsidRDefault="00F61024" w:rsidP="00670A3D">
      <w:pPr>
        <w:pStyle w:val="Prrafodelista"/>
        <w:ind w:left="720"/>
        <w:jc w:val="both"/>
        <w:rPr>
          <w:rFonts w:ascii="AvantGarde Bk BT" w:hAnsi="AvantGarde Bk BT" w:cs="Arial"/>
          <w:sz w:val="20"/>
          <w:szCs w:val="20"/>
        </w:rPr>
      </w:pPr>
    </w:p>
    <w:p w:rsidR="00F61024" w:rsidRPr="00FD5641" w:rsidRDefault="00F61024" w:rsidP="00670A3D">
      <w:pPr>
        <w:pStyle w:val="Prrafodelista"/>
        <w:numPr>
          <w:ilvl w:val="1"/>
          <w:numId w:val="14"/>
        </w:numPr>
        <w:tabs>
          <w:tab w:val="num" w:pos="1440"/>
        </w:tabs>
        <w:jc w:val="both"/>
        <w:rPr>
          <w:rFonts w:ascii="AvantGarde Bk BT" w:hAnsi="AvantGarde Bk BT" w:cs="Arial"/>
          <w:sz w:val="20"/>
          <w:szCs w:val="20"/>
        </w:rPr>
      </w:pPr>
      <w:r w:rsidRPr="00FD5641">
        <w:rPr>
          <w:rFonts w:ascii="AvantGarde Bk BT" w:hAnsi="AvantGarde Bk BT" w:cs="Arial"/>
          <w:sz w:val="20"/>
          <w:szCs w:val="20"/>
        </w:rPr>
        <w:t>La plantilla académica con la que inicialmente cuenta el Centro de Estudios de la Hacienda Pública es la siguiente:</w:t>
      </w:r>
    </w:p>
    <w:p w:rsidR="00F61024" w:rsidRPr="00FD5641" w:rsidRDefault="00F61024" w:rsidP="00670A3D">
      <w:pPr>
        <w:ind w:left="360"/>
        <w:rPr>
          <w:rFonts w:ascii="AvantGarde Bk BT" w:hAnsi="AvantGarde Bk BT" w:cs="Arial"/>
          <w:b/>
          <w:bCs/>
          <w:sz w:val="20"/>
          <w:szCs w:val="20"/>
        </w:rPr>
      </w:pPr>
    </w:p>
    <w:tbl>
      <w:tblPr>
        <w:tblW w:w="7371" w:type="dxa"/>
        <w:tblInd w:w="1413" w:type="dxa"/>
        <w:tblCellMar>
          <w:left w:w="70" w:type="dxa"/>
          <w:right w:w="70" w:type="dxa"/>
        </w:tblCellMar>
        <w:tblLook w:val="04A0" w:firstRow="1" w:lastRow="0" w:firstColumn="1" w:lastColumn="0" w:noHBand="0" w:noVBand="1"/>
      </w:tblPr>
      <w:tblGrid>
        <w:gridCol w:w="1417"/>
        <w:gridCol w:w="2977"/>
        <w:gridCol w:w="2977"/>
      </w:tblGrid>
      <w:tr w:rsidR="00F61024" w:rsidRPr="00FD5641" w:rsidTr="0042431C">
        <w:trPr>
          <w:trHeight w:val="255"/>
        </w:trPr>
        <w:tc>
          <w:tcPr>
            <w:tcW w:w="1417" w:type="dxa"/>
            <w:tcBorders>
              <w:top w:val="single" w:sz="4" w:space="0" w:color="auto"/>
              <w:left w:val="single" w:sz="4" w:space="0" w:color="auto"/>
              <w:bottom w:val="single" w:sz="4" w:space="0" w:color="auto"/>
              <w:right w:val="single" w:sz="4" w:space="0" w:color="auto"/>
            </w:tcBorders>
            <w:vAlign w:val="center"/>
          </w:tcPr>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t>Grado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t>Nombre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t>Nombramiento</w:t>
            </w:r>
          </w:p>
        </w:tc>
      </w:tr>
      <w:tr w:rsidR="00F61024" w:rsidRPr="00FD5641" w:rsidTr="0042431C">
        <w:trPr>
          <w:trHeight w:val="255"/>
        </w:trPr>
        <w:tc>
          <w:tcPr>
            <w:tcW w:w="1417" w:type="dxa"/>
            <w:tcBorders>
              <w:top w:val="single" w:sz="4" w:space="0" w:color="auto"/>
              <w:left w:val="single" w:sz="4" w:space="0" w:color="auto"/>
              <w:bottom w:val="single" w:sz="4" w:space="0" w:color="auto"/>
              <w:right w:val="single" w:sz="4" w:space="0" w:color="auto"/>
            </w:tcBorders>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Maestría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Juan Diego Omar Martínez Delgado</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Profesor Docente Titular  “A”</w:t>
            </w:r>
          </w:p>
        </w:tc>
      </w:tr>
      <w:tr w:rsidR="00F61024" w:rsidRPr="00FD5641" w:rsidTr="0042431C">
        <w:trPr>
          <w:trHeight w:val="416"/>
        </w:trPr>
        <w:tc>
          <w:tcPr>
            <w:tcW w:w="1417" w:type="dxa"/>
            <w:tcBorders>
              <w:top w:val="nil"/>
              <w:left w:val="single" w:sz="4" w:space="0" w:color="auto"/>
              <w:bottom w:val="single" w:sz="4" w:space="0" w:color="auto"/>
              <w:right w:val="single" w:sz="4" w:space="0" w:color="auto"/>
            </w:tcBorders>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Doctorado</w:t>
            </w:r>
          </w:p>
        </w:tc>
        <w:tc>
          <w:tcPr>
            <w:tcW w:w="2977" w:type="dxa"/>
            <w:tcBorders>
              <w:top w:val="nil"/>
              <w:left w:val="single" w:sz="4" w:space="0" w:color="auto"/>
              <w:bottom w:val="single" w:sz="4" w:space="0" w:color="auto"/>
              <w:right w:val="single" w:sz="4" w:space="0" w:color="auto"/>
            </w:tcBorders>
            <w:shd w:val="clear" w:color="auto" w:fill="auto"/>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Antonio Sánchez Sierra</w:t>
            </w:r>
          </w:p>
        </w:tc>
        <w:tc>
          <w:tcPr>
            <w:tcW w:w="2977" w:type="dxa"/>
            <w:tcBorders>
              <w:top w:val="nil"/>
              <w:left w:val="nil"/>
              <w:bottom w:val="single" w:sz="4" w:space="0" w:color="auto"/>
              <w:right w:val="single" w:sz="4" w:space="0" w:color="auto"/>
            </w:tcBorders>
            <w:shd w:val="clear" w:color="auto" w:fill="auto"/>
            <w:noWrap/>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Profesor Docente Asociado “A”</w:t>
            </w:r>
          </w:p>
        </w:tc>
      </w:tr>
      <w:tr w:rsidR="00F61024" w:rsidRPr="00FD5641" w:rsidTr="0042431C">
        <w:trPr>
          <w:trHeight w:val="296"/>
        </w:trPr>
        <w:tc>
          <w:tcPr>
            <w:tcW w:w="1417" w:type="dxa"/>
            <w:tcBorders>
              <w:top w:val="nil"/>
              <w:left w:val="single" w:sz="4" w:space="0" w:color="auto"/>
              <w:bottom w:val="single" w:sz="4" w:space="0" w:color="auto"/>
              <w:right w:val="single" w:sz="4" w:space="0" w:color="auto"/>
            </w:tcBorders>
            <w:shd w:val="clear" w:color="000000" w:fill="FFFFFF"/>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Doctorado</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Cristian Omar Alcantar López</w:t>
            </w:r>
          </w:p>
        </w:tc>
        <w:tc>
          <w:tcPr>
            <w:tcW w:w="2977" w:type="dxa"/>
            <w:tcBorders>
              <w:top w:val="nil"/>
              <w:left w:val="nil"/>
              <w:bottom w:val="single" w:sz="4" w:space="0" w:color="auto"/>
              <w:right w:val="single" w:sz="4" w:space="0" w:color="auto"/>
            </w:tcBorders>
            <w:shd w:val="clear" w:color="auto" w:fill="auto"/>
            <w:noWrap/>
            <w:vAlign w:val="center"/>
            <w:hideMark/>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Profesor Docente Asociado “A”</w:t>
            </w:r>
          </w:p>
        </w:tc>
      </w:tr>
      <w:tr w:rsidR="00F61024" w:rsidRPr="00FD5641" w:rsidTr="0042431C">
        <w:trPr>
          <w:trHeight w:val="363"/>
        </w:trPr>
        <w:tc>
          <w:tcPr>
            <w:tcW w:w="1417" w:type="dxa"/>
            <w:tcBorders>
              <w:top w:val="nil"/>
              <w:left w:val="single" w:sz="4" w:space="0" w:color="auto"/>
              <w:bottom w:val="single" w:sz="4" w:space="0" w:color="auto"/>
              <w:right w:val="single" w:sz="4" w:space="0" w:color="auto"/>
            </w:tcBorders>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Doctorado</w:t>
            </w:r>
          </w:p>
        </w:tc>
        <w:tc>
          <w:tcPr>
            <w:tcW w:w="2977" w:type="dxa"/>
            <w:tcBorders>
              <w:top w:val="nil"/>
              <w:left w:val="single" w:sz="4" w:space="0" w:color="auto"/>
              <w:bottom w:val="single" w:sz="4" w:space="0" w:color="auto"/>
              <w:right w:val="single" w:sz="4" w:space="0" w:color="auto"/>
            </w:tcBorders>
            <w:shd w:val="clear" w:color="auto" w:fill="auto"/>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Marco Antonio Berger García</w:t>
            </w:r>
          </w:p>
        </w:tc>
        <w:tc>
          <w:tcPr>
            <w:tcW w:w="2977" w:type="dxa"/>
            <w:tcBorders>
              <w:top w:val="nil"/>
              <w:left w:val="nil"/>
              <w:bottom w:val="single" w:sz="4" w:space="0" w:color="auto"/>
              <w:right w:val="single" w:sz="4" w:space="0" w:color="auto"/>
            </w:tcBorders>
            <w:shd w:val="clear" w:color="auto" w:fill="auto"/>
            <w:noWrap/>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Profesor Docente Titular  “A”</w:t>
            </w:r>
          </w:p>
        </w:tc>
      </w:tr>
      <w:tr w:rsidR="00F61024" w:rsidRPr="00FD5641" w:rsidTr="0042431C">
        <w:trPr>
          <w:trHeight w:val="363"/>
        </w:trPr>
        <w:tc>
          <w:tcPr>
            <w:tcW w:w="1417" w:type="dxa"/>
            <w:tcBorders>
              <w:top w:val="single" w:sz="4" w:space="0" w:color="auto"/>
              <w:left w:val="single" w:sz="4" w:space="0" w:color="auto"/>
              <w:bottom w:val="single" w:sz="4" w:space="0" w:color="auto"/>
              <w:right w:val="single" w:sz="4" w:space="0" w:color="auto"/>
            </w:tcBorders>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Doctorado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Cesar Omar Mora Pérez</w:t>
            </w:r>
          </w:p>
        </w:tc>
        <w:tc>
          <w:tcPr>
            <w:tcW w:w="2977" w:type="dxa"/>
            <w:tcBorders>
              <w:top w:val="single" w:sz="4" w:space="0" w:color="auto"/>
              <w:left w:val="nil"/>
              <w:bottom w:val="single" w:sz="4" w:space="0" w:color="auto"/>
              <w:right w:val="single" w:sz="4" w:space="0" w:color="auto"/>
            </w:tcBorders>
            <w:shd w:val="clear" w:color="auto" w:fill="auto"/>
            <w:noWrap/>
          </w:tcPr>
          <w:p w:rsidR="00F61024" w:rsidRPr="00FD5641" w:rsidRDefault="00F61024" w:rsidP="00670A3D">
            <w:pPr>
              <w:jc w:val="center"/>
              <w:rPr>
                <w:rFonts w:ascii="AvantGarde Bk BT" w:hAnsi="AvantGarde Bk BT"/>
                <w:sz w:val="20"/>
                <w:szCs w:val="20"/>
              </w:rPr>
            </w:pPr>
            <w:r w:rsidRPr="00FD5641">
              <w:rPr>
                <w:rFonts w:ascii="AvantGarde Bk BT" w:hAnsi="AvantGarde Bk BT" w:cs="Arial"/>
                <w:sz w:val="20"/>
                <w:szCs w:val="20"/>
              </w:rPr>
              <w:t>Profesor Docente Titular  “A”</w:t>
            </w:r>
          </w:p>
        </w:tc>
      </w:tr>
      <w:tr w:rsidR="00F61024" w:rsidRPr="00FD5641" w:rsidTr="0042431C">
        <w:trPr>
          <w:trHeight w:val="363"/>
        </w:trPr>
        <w:tc>
          <w:tcPr>
            <w:tcW w:w="1417" w:type="dxa"/>
            <w:tcBorders>
              <w:top w:val="single" w:sz="4" w:space="0" w:color="auto"/>
              <w:left w:val="single" w:sz="4" w:space="0" w:color="auto"/>
              <w:bottom w:val="single" w:sz="4" w:space="0" w:color="auto"/>
              <w:right w:val="single" w:sz="4" w:space="0" w:color="auto"/>
            </w:tcBorders>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Doctorado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Sergio Sánchez Enrique</w:t>
            </w:r>
          </w:p>
        </w:tc>
        <w:tc>
          <w:tcPr>
            <w:tcW w:w="2977" w:type="dxa"/>
            <w:tcBorders>
              <w:top w:val="single" w:sz="4" w:space="0" w:color="auto"/>
              <w:left w:val="nil"/>
              <w:bottom w:val="single" w:sz="4" w:space="0" w:color="auto"/>
              <w:right w:val="single" w:sz="4" w:space="0" w:color="auto"/>
            </w:tcBorders>
            <w:shd w:val="clear" w:color="auto" w:fill="auto"/>
            <w:noWrap/>
          </w:tcPr>
          <w:p w:rsidR="00F61024" w:rsidRPr="00FD5641" w:rsidRDefault="00F61024" w:rsidP="00670A3D">
            <w:pPr>
              <w:jc w:val="center"/>
              <w:rPr>
                <w:rFonts w:ascii="AvantGarde Bk BT" w:hAnsi="AvantGarde Bk BT"/>
                <w:sz w:val="20"/>
                <w:szCs w:val="20"/>
              </w:rPr>
            </w:pPr>
            <w:r w:rsidRPr="00FD5641">
              <w:rPr>
                <w:rFonts w:ascii="AvantGarde Bk BT" w:hAnsi="AvantGarde Bk BT" w:cs="Arial"/>
                <w:sz w:val="20"/>
                <w:szCs w:val="20"/>
              </w:rPr>
              <w:t>Profesor Docente Titular  “A”</w:t>
            </w:r>
          </w:p>
        </w:tc>
      </w:tr>
    </w:tbl>
    <w:p w:rsidR="00F61024" w:rsidRPr="00FD5641" w:rsidRDefault="00F61024" w:rsidP="00670A3D">
      <w:pPr>
        <w:jc w:val="both"/>
        <w:rPr>
          <w:rFonts w:ascii="AvantGarde Bk BT" w:hAnsi="AvantGarde Bk BT" w:cs="Arial"/>
          <w:sz w:val="20"/>
          <w:szCs w:val="20"/>
        </w:rPr>
      </w:pPr>
    </w:p>
    <w:p w:rsidR="00F61024" w:rsidRPr="00FD5641" w:rsidRDefault="00F61024" w:rsidP="00670A3D">
      <w:pPr>
        <w:pStyle w:val="Prrafodelista"/>
        <w:numPr>
          <w:ilvl w:val="0"/>
          <w:numId w:val="18"/>
        </w:numPr>
        <w:tabs>
          <w:tab w:val="left" w:pos="-720"/>
        </w:tabs>
        <w:suppressAutoHyphens/>
        <w:contextualSpacing/>
        <w:jc w:val="both"/>
        <w:rPr>
          <w:rFonts w:ascii="AvantGarde Bk BT" w:hAnsi="AvantGarde Bk BT" w:cs="Arial"/>
          <w:sz w:val="20"/>
          <w:szCs w:val="20"/>
        </w:rPr>
      </w:pPr>
      <w:r w:rsidRPr="00FD5641">
        <w:rPr>
          <w:rFonts w:ascii="AvantGarde Bk BT" w:hAnsi="AvantGarde Bk BT" w:cs="Arial"/>
          <w:sz w:val="20"/>
          <w:szCs w:val="20"/>
        </w:rPr>
        <w:t>El Centro de Estudios de la Hacienda Pública realizará labores de apoyo a la docencia, fortaleciendo la formación de recursos humanos profesionales y desarrollo de la investigación en el Departamento de Impuestos.</w:t>
      </w:r>
    </w:p>
    <w:p w:rsidR="00F61024" w:rsidRPr="00FD5641" w:rsidRDefault="00F61024" w:rsidP="00670A3D">
      <w:pPr>
        <w:pStyle w:val="Prrafodelista"/>
        <w:tabs>
          <w:tab w:val="left" w:pos="-720"/>
        </w:tabs>
        <w:suppressAutoHyphens/>
        <w:ind w:left="1560"/>
        <w:contextualSpacing/>
        <w:jc w:val="both"/>
        <w:rPr>
          <w:rFonts w:ascii="AvantGarde Bk BT" w:hAnsi="AvantGarde Bk BT" w:cs="Arial"/>
          <w:sz w:val="20"/>
          <w:szCs w:val="20"/>
        </w:rPr>
      </w:pPr>
    </w:p>
    <w:p w:rsidR="00F61024" w:rsidRPr="00FD5641" w:rsidRDefault="00F61024" w:rsidP="00670A3D">
      <w:pPr>
        <w:pStyle w:val="Prrafodelista"/>
        <w:numPr>
          <w:ilvl w:val="0"/>
          <w:numId w:val="18"/>
        </w:numPr>
        <w:tabs>
          <w:tab w:val="left" w:pos="-720"/>
        </w:tabs>
        <w:suppressAutoHyphens/>
        <w:contextualSpacing/>
        <w:jc w:val="both"/>
        <w:rPr>
          <w:rFonts w:ascii="AvantGarde Bk BT" w:hAnsi="AvantGarde Bk BT" w:cs="Arial"/>
          <w:sz w:val="20"/>
          <w:szCs w:val="20"/>
        </w:rPr>
      </w:pPr>
      <w:r w:rsidRPr="00FD5641">
        <w:rPr>
          <w:rFonts w:ascii="AvantGarde Bk BT" w:hAnsi="AvantGarde Bk BT" w:cs="Arial"/>
          <w:sz w:val="20"/>
          <w:szCs w:val="20"/>
        </w:rPr>
        <w:t>El requisito establecido en el artículo 15, se plantea en su proyecto de creación y se encuentra validado por la Coordinación General de Investigación, Posgrado y Vinculación.</w:t>
      </w:r>
    </w:p>
    <w:p w:rsidR="00F61024" w:rsidRPr="00FD5641" w:rsidRDefault="00F61024" w:rsidP="00670A3D">
      <w:pPr>
        <w:ind w:left="1560"/>
        <w:contextualSpacing/>
        <w:jc w:val="both"/>
        <w:rPr>
          <w:rFonts w:ascii="AvantGarde Bk BT" w:hAnsi="AvantGarde Bk BT" w:cs="Arial"/>
          <w:sz w:val="20"/>
          <w:szCs w:val="20"/>
        </w:rPr>
      </w:pPr>
    </w:p>
    <w:p w:rsidR="00F61024" w:rsidRPr="00FD5641" w:rsidRDefault="00F61024" w:rsidP="00670A3D">
      <w:pPr>
        <w:pStyle w:val="Textoindependiente"/>
        <w:spacing w:after="0"/>
        <w:rPr>
          <w:rFonts w:ascii="AvantGarde Bk BT" w:hAnsi="AvantGarde Bk BT" w:cs="Arial"/>
          <w:sz w:val="20"/>
          <w:lang w:val="es-MX" w:eastAsia="en-US"/>
        </w:rPr>
      </w:pPr>
      <w:r w:rsidRPr="00FD5641">
        <w:rPr>
          <w:rFonts w:ascii="AvantGarde Bk BT" w:hAnsi="AvantGarde Bk BT" w:cs="Arial"/>
          <w:sz w:val="20"/>
          <w:lang w:val="es-MX" w:eastAsia="en-US"/>
        </w:rPr>
        <w:t>En virtud de los antecedentes antes expuestos y tomando en consideración los siguientes:</w:t>
      </w:r>
    </w:p>
    <w:p w:rsidR="00F61024" w:rsidRPr="00FD5641" w:rsidRDefault="00F61024" w:rsidP="00670A3D">
      <w:pPr>
        <w:rPr>
          <w:rFonts w:ascii="AvantGarde Bk BT" w:hAnsi="AvantGarde Bk BT" w:cs="Arial"/>
          <w:sz w:val="20"/>
          <w:szCs w:val="20"/>
        </w:rPr>
      </w:pPr>
    </w:p>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t>FUNDAMENTOS JURÍDICOS</w:t>
      </w:r>
    </w:p>
    <w:p w:rsidR="00F61024" w:rsidRPr="00FD5641" w:rsidRDefault="00F61024" w:rsidP="00670A3D">
      <w:pPr>
        <w:ind w:left="283"/>
        <w:jc w:val="both"/>
        <w:rPr>
          <w:rFonts w:ascii="AvantGarde Bk BT" w:hAnsi="AvantGarde Bk BT" w:cs="Arial"/>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F61024" w:rsidRPr="00FD5641" w:rsidRDefault="00F61024" w:rsidP="00670A3D">
      <w:pPr>
        <w:rPr>
          <w:rFonts w:ascii="AvantGarde Bk BT" w:hAnsi="AvantGarde Bk BT" w:cs="Arial"/>
          <w:spacing w:val="-2"/>
          <w:sz w:val="20"/>
          <w:szCs w:val="20"/>
        </w:rPr>
      </w:pPr>
      <w:r w:rsidRPr="00FD5641">
        <w:rPr>
          <w:rFonts w:ascii="AvantGarde Bk BT" w:hAnsi="AvantGarde Bk BT" w:cs="Arial"/>
          <w:spacing w:val="-2"/>
          <w:sz w:val="20"/>
          <w:szCs w:val="20"/>
        </w:rPr>
        <w:br w:type="page"/>
      </w: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lastRenderedPageBreak/>
        <w:t>Que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rsidR="00F61024" w:rsidRPr="00FD5641" w:rsidRDefault="00F61024" w:rsidP="00670A3D">
      <w:pPr>
        <w:tabs>
          <w:tab w:val="left" w:pos="-720"/>
        </w:tabs>
        <w:suppressAutoHyphens/>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Que es atribución de la Universidad de Guadalajara, organizarse para el cumplimiento de sus fines y realizar programas de docencia, investigación y difusión de la cultura, de acuerdo con los principios y orientaciones previstos en el artículo 3o. de la Constitución Federal, tal y como se estipula en las fracciones II y III del artículo 6 de la Ley Orgánica de la Universidad de Guadalajara.</w:t>
      </w:r>
    </w:p>
    <w:p w:rsidR="00F61024" w:rsidRPr="00FD5641" w:rsidRDefault="00F61024" w:rsidP="00670A3D">
      <w:pPr>
        <w:tabs>
          <w:tab w:val="left" w:pos="-720"/>
        </w:tabs>
        <w:suppressAutoHyphens/>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Que la Universidad de Guadalajara ha adoptado el modelo de Red para organizar sus actividades académicas y administrativas en virtud del cual se integra por los Centros Universitarios, el Sistema de Educación Media Superior y la Administración General, de acuerdo con lo dispuesto en los artículos 22 y 23 de la Ley Orgánica de la Universidad de Guadalajara. </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pStyle w:val="Prrafodelista"/>
        <w:numPr>
          <w:ilvl w:val="0"/>
          <w:numId w:val="13"/>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z w:val="20"/>
          <w:szCs w:val="20"/>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Laboratorios, según se desprende del artículo 5 y la fracción III del artículo 13, ambos del Estatuto General de la Universidad de Guadalajara.</w:t>
      </w:r>
    </w:p>
    <w:p w:rsidR="00F61024" w:rsidRPr="00FD5641" w:rsidRDefault="00F61024" w:rsidP="00670A3D">
      <w:pPr>
        <w:tabs>
          <w:tab w:val="left" w:pos="-720"/>
        </w:tabs>
        <w:suppressAutoHyphens/>
        <w:contextualSpacing/>
        <w:jc w:val="both"/>
        <w:rPr>
          <w:rFonts w:ascii="AvantGarde Bk BT" w:hAnsi="AvantGarde Bk BT" w:cs="Arial"/>
          <w:spacing w:val="-2"/>
          <w:sz w:val="20"/>
          <w:szCs w:val="20"/>
        </w:rPr>
      </w:pPr>
    </w:p>
    <w:p w:rsidR="00F61024" w:rsidRPr="00FD5641" w:rsidRDefault="00F61024" w:rsidP="00670A3D">
      <w:pPr>
        <w:pStyle w:val="Prrafodelista"/>
        <w:numPr>
          <w:ilvl w:val="0"/>
          <w:numId w:val="13"/>
        </w:numPr>
        <w:tabs>
          <w:tab w:val="left" w:pos="-720"/>
        </w:tabs>
        <w:suppressAutoHyphens/>
        <w:contextualSpacing/>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Que el Estatuto General de la Universidad, en su artículo 15 define como Centro de Estudios de la Hacienda Pública a la Unidad departamental que realizan investigación y deberá contar con </w:t>
      </w:r>
      <w:r w:rsidR="00670A3D">
        <w:rPr>
          <w:rFonts w:ascii="AvantGarde Bk BT" w:hAnsi="AvantGarde Bk BT" w:cs="Arial"/>
          <w:spacing w:val="-2"/>
          <w:sz w:val="20"/>
          <w:szCs w:val="20"/>
        </w:rPr>
        <w:t>a</w:t>
      </w:r>
      <w:r w:rsidRPr="00FD5641">
        <w:rPr>
          <w:rFonts w:ascii="AvantGarde Bk BT" w:hAnsi="AvantGarde Bk BT" w:cs="Arial"/>
          <w:spacing w:val="-2"/>
          <w:sz w:val="20"/>
          <w:szCs w:val="20"/>
        </w:rPr>
        <w:t>l menos dos académicos de carrera con la categoría de titular o grado de doctor.</w:t>
      </w:r>
    </w:p>
    <w:p w:rsidR="00F61024" w:rsidRPr="00FD5641" w:rsidRDefault="00F61024" w:rsidP="00670A3D">
      <w:pPr>
        <w:pStyle w:val="Prrafodelista"/>
        <w:tabs>
          <w:tab w:val="left" w:pos="-720"/>
        </w:tabs>
        <w:suppressAutoHyphens/>
        <w:ind w:left="720"/>
        <w:contextualSpacing/>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Que los Colegios Departamentales, tienen como atribuciones la de proponer al Consejo Divisional la creación, supresión o modificación de los departamentos y sus unidades, conforme lo establece la fracción II del artículo 65 de la Ley Orgánica de la Universidad de Guadalajara.</w:t>
      </w:r>
    </w:p>
    <w:p w:rsidR="00F61024" w:rsidRPr="00FD5641" w:rsidRDefault="00F61024" w:rsidP="00670A3D">
      <w:pPr>
        <w:rPr>
          <w:rFonts w:ascii="AvantGarde Bk BT" w:hAnsi="AvantGarde Bk BT" w:cs="Arial"/>
          <w:spacing w:val="-2"/>
          <w:sz w:val="20"/>
          <w:szCs w:val="20"/>
        </w:rPr>
      </w:pPr>
      <w:r w:rsidRPr="00FD5641">
        <w:rPr>
          <w:rFonts w:ascii="AvantGarde Bk BT" w:hAnsi="AvantGarde Bk BT" w:cs="Arial"/>
          <w:spacing w:val="-2"/>
          <w:sz w:val="20"/>
          <w:szCs w:val="20"/>
        </w:rPr>
        <w:br w:type="page"/>
      </w:r>
    </w:p>
    <w:p w:rsidR="0042431C" w:rsidRDefault="0042431C" w:rsidP="00670A3D">
      <w:pPr>
        <w:tabs>
          <w:tab w:val="left" w:pos="-720"/>
        </w:tabs>
        <w:suppressAutoHyphens/>
        <w:ind w:left="720"/>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Que el H. Consejo General Universitario es el máximo órgano de gobierno de esta Casa de Estudios y que es su atribución la de crear dependencias que tiendan a ampliar o mejorar las funciones universitarias, de conformidad con lo establecido por el artículo 28 y la fracción V del artículo 31 de la Ley Orgánica de la Universidad de Guadalajara.</w:t>
      </w:r>
    </w:p>
    <w:p w:rsidR="00F61024" w:rsidRPr="00FD5641" w:rsidRDefault="00F61024" w:rsidP="00670A3D">
      <w:pPr>
        <w:pStyle w:val="Prrafodelista"/>
        <w:tabs>
          <w:tab w:val="left" w:pos="-720"/>
        </w:tabs>
        <w:suppressAutoHyphens/>
        <w:ind w:left="720"/>
        <w:jc w:val="both"/>
        <w:rPr>
          <w:rFonts w:ascii="AvantGarde Bk BT" w:hAnsi="AvantGarde Bk BT" w:cs="Arial"/>
          <w:spacing w:val="-2"/>
          <w:sz w:val="20"/>
          <w:szCs w:val="20"/>
        </w:rPr>
      </w:pPr>
    </w:p>
    <w:p w:rsidR="00F61024" w:rsidRPr="00FD5641" w:rsidRDefault="00F61024" w:rsidP="00670A3D">
      <w:pPr>
        <w:pStyle w:val="Prrafodelista"/>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z w:val="20"/>
          <w:szCs w:val="20"/>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del Estatuto General de la Universidad de Guadalajara.</w:t>
      </w:r>
    </w:p>
    <w:p w:rsidR="00F61024" w:rsidRPr="00FD5641" w:rsidRDefault="00F61024" w:rsidP="00670A3D">
      <w:pPr>
        <w:tabs>
          <w:tab w:val="left" w:pos="-720"/>
        </w:tabs>
        <w:suppressAutoHyphens/>
        <w:ind w:left="720"/>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Que el H. Consejo General Universitario, funcionará en pleno o por comisiones, </w:t>
      </w:r>
      <w:r w:rsidRPr="00FD5641">
        <w:rPr>
          <w:rFonts w:ascii="AvantGarde Bk BT" w:hAnsi="AvantGarde Bk BT" w:cs="Arial"/>
          <w:sz w:val="20"/>
          <w:szCs w:val="20"/>
          <w:lang w:eastAsia="es-MX"/>
        </w:rPr>
        <w:t>las que pueden ser permanentes o especiales, tal como lo prevé el artículo 27 de la Ley Orgánica de la Universidad de Guadalajara.</w:t>
      </w:r>
    </w:p>
    <w:p w:rsidR="00F61024" w:rsidRPr="00FD5641" w:rsidRDefault="00F61024" w:rsidP="00670A3D">
      <w:pPr>
        <w:tabs>
          <w:tab w:val="left" w:pos="-720"/>
        </w:tabs>
        <w:suppressAutoHyphens/>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 xml:space="preserve">Que es atribución de la Comisión Permanente de Educación, </w:t>
      </w:r>
      <w:r w:rsidRPr="00FD5641">
        <w:rPr>
          <w:rFonts w:ascii="AvantGarde Bk BT" w:hAnsi="AvantGarde Bk BT" w:cs="Arial"/>
          <w:sz w:val="20"/>
          <w:szCs w:val="20"/>
          <w:lang w:eastAsia="es-MX"/>
        </w:rPr>
        <w:t xml:space="preserve">dictaminar sobre la procedencia de la fundación de nuevos Centros y Sistemas que permitan mejorar o diversificar las funciones universitarias; asimismo, sobre la modificación o supresión de cualquiera de los existentes, así como, </w:t>
      </w:r>
      <w:r w:rsidRPr="00FD5641">
        <w:rPr>
          <w:rFonts w:ascii="AvantGarde Bk BT" w:hAnsi="AvantGarde Bk BT" w:cs="Arial"/>
          <w:spacing w:val="-2"/>
          <w:sz w:val="20"/>
          <w:szCs w:val="20"/>
        </w:rPr>
        <w:t>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rsidR="00F61024" w:rsidRPr="00FD5641" w:rsidRDefault="00F61024" w:rsidP="00670A3D">
      <w:pPr>
        <w:pStyle w:val="Prrafodelista"/>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z w:val="20"/>
          <w:szCs w:val="20"/>
        </w:rPr>
      </w:pPr>
      <w:r w:rsidRPr="00FD5641">
        <w:rPr>
          <w:rFonts w:ascii="AvantGarde Bk BT" w:hAnsi="AvantGarde Bk BT" w:cs="Arial"/>
          <w:sz w:val="20"/>
          <w:szCs w:val="20"/>
        </w:rPr>
        <w:t>Que es atribución de la Comisión Permanente de Hacienda, calificar 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Compas y Adjudicaciones.</w:t>
      </w:r>
    </w:p>
    <w:p w:rsidR="00F61024" w:rsidRPr="00FD5641" w:rsidRDefault="00F61024" w:rsidP="00670A3D">
      <w:pPr>
        <w:tabs>
          <w:tab w:val="left" w:pos="-720"/>
        </w:tabs>
        <w:suppressAutoHyphens/>
        <w:ind w:left="720"/>
        <w:jc w:val="both"/>
        <w:rPr>
          <w:rFonts w:ascii="AvantGarde Bk BT" w:hAnsi="AvantGarde Bk BT" w:cs="Arial"/>
          <w:spacing w:val="-2"/>
          <w:sz w:val="20"/>
          <w:szCs w:val="20"/>
        </w:rPr>
      </w:pPr>
    </w:p>
    <w:p w:rsidR="00F61024" w:rsidRPr="00FD5641" w:rsidRDefault="00F61024" w:rsidP="00670A3D">
      <w:pPr>
        <w:numPr>
          <w:ilvl w:val="0"/>
          <w:numId w:val="13"/>
        </w:numPr>
        <w:tabs>
          <w:tab w:val="left" w:pos="-720"/>
        </w:tabs>
        <w:suppressAutoHyphens/>
        <w:jc w:val="both"/>
        <w:rPr>
          <w:rFonts w:ascii="AvantGarde Bk BT" w:hAnsi="AvantGarde Bk BT" w:cs="Arial"/>
          <w:spacing w:val="-2"/>
          <w:sz w:val="20"/>
          <w:szCs w:val="20"/>
        </w:rPr>
      </w:pPr>
      <w:r w:rsidRPr="00FD5641">
        <w:rPr>
          <w:rFonts w:ascii="AvantGarde Bk BT" w:hAnsi="AvantGarde Bk BT" w:cs="Arial"/>
          <w:spacing w:val="-2"/>
          <w:sz w:val="20"/>
          <w:szCs w:val="20"/>
        </w:rPr>
        <w:t>Que es atribución del H.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F61024" w:rsidRPr="00FD5641" w:rsidRDefault="00F61024" w:rsidP="00670A3D">
      <w:pPr>
        <w:tabs>
          <w:tab w:val="left" w:pos="-720"/>
        </w:tabs>
        <w:suppressAutoHyphens/>
        <w:jc w:val="both"/>
        <w:rPr>
          <w:rFonts w:ascii="AvantGarde Bk BT" w:hAnsi="AvantGarde Bk BT" w:cs="Arial"/>
          <w:spacing w:val="-2"/>
          <w:sz w:val="20"/>
          <w:szCs w:val="20"/>
        </w:rPr>
      </w:pPr>
    </w:p>
    <w:p w:rsidR="00F61024" w:rsidRPr="00FD5641" w:rsidRDefault="00F61024" w:rsidP="00670A3D">
      <w:pPr>
        <w:autoSpaceDE w:val="0"/>
        <w:autoSpaceDN w:val="0"/>
        <w:adjustRightInd w:val="0"/>
        <w:ind w:right="18"/>
        <w:jc w:val="both"/>
        <w:rPr>
          <w:rFonts w:ascii="AvantGarde Bk BT" w:hAnsi="AvantGarde Bk BT" w:cs="Arial"/>
          <w:sz w:val="20"/>
          <w:szCs w:val="20"/>
        </w:rPr>
      </w:pPr>
      <w:r w:rsidRPr="00FD5641">
        <w:rPr>
          <w:rFonts w:ascii="AvantGarde Bk BT" w:hAnsi="AvantGarde Bk BT" w:cs="Arial"/>
          <w:sz w:val="20"/>
          <w:szCs w:val="20"/>
        </w:rPr>
        <w:t>Por lo antes expuesto y fundado, esta</w:t>
      </w:r>
      <w:r w:rsidR="00670A3D">
        <w:rPr>
          <w:rFonts w:ascii="AvantGarde Bk BT" w:hAnsi="AvantGarde Bk BT" w:cs="Arial"/>
          <w:sz w:val="20"/>
          <w:szCs w:val="20"/>
        </w:rPr>
        <w:t>s</w:t>
      </w:r>
      <w:r w:rsidRPr="00FD5641">
        <w:rPr>
          <w:rFonts w:ascii="AvantGarde Bk BT" w:hAnsi="AvantGarde Bk BT" w:cs="Arial"/>
          <w:sz w:val="20"/>
          <w:szCs w:val="20"/>
        </w:rPr>
        <w:t xml:space="preserve"> Comisi</w:t>
      </w:r>
      <w:r w:rsidR="00670A3D">
        <w:rPr>
          <w:rFonts w:ascii="AvantGarde Bk BT" w:hAnsi="AvantGarde Bk BT" w:cs="Arial"/>
          <w:sz w:val="20"/>
          <w:szCs w:val="20"/>
        </w:rPr>
        <w:t>ones</w:t>
      </w:r>
      <w:r w:rsidRPr="00FD5641">
        <w:rPr>
          <w:rFonts w:ascii="AvantGarde Bk BT" w:hAnsi="AvantGarde Bk BT" w:cs="Arial"/>
          <w:sz w:val="20"/>
          <w:szCs w:val="20"/>
        </w:rPr>
        <w:t xml:space="preserve"> Permanente</w:t>
      </w:r>
      <w:r w:rsidR="00670A3D">
        <w:rPr>
          <w:rFonts w:ascii="AvantGarde Bk BT" w:hAnsi="AvantGarde Bk BT" w:cs="Arial"/>
          <w:sz w:val="20"/>
          <w:szCs w:val="20"/>
        </w:rPr>
        <w:t>s</w:t>
      </w:r>
      <w:r w:rsidRPr="00FD5641">
        <w:rPr>
          <w:rFonts w:ascii="AvantGarde Bk BT" w:hAnsi="AvantGarde Bk BT" w:cs="Arial"/>
          <w:sz w:val="20"/>
          <w:szCs w:val="20"/>
        </w:rPr>
        <w:t xml:space="preserve"> de Educación</w:t>
      </w:r>
      <w:r w:rsidR="00670A3D">
        <w:rPr>
          <w:rFonts w:ascii="AvantGarde Bk BT" w:hAnsi="AvantGarde Bk BT" w:cs="Arial"/>
          <w:sz w:val="20"/>
          <w:szCs w:val="20"/>
        </w:rPr>
        <w:t xml:space="preserve"> y de Hacienda</w:t>
      </w:r>
      <w:r w:rsidRPr="00FD5641">
        <w:rPr>
          <w:rFonts w:ascii="AvantGarde Bk BT" w:hAnsi="AvantGarde Bk BT" w:cs="Arial"/>
          <w:sz w:val="20"/>
          <w:szCs w:val="20"/>
        </w:rPr>
        <w:t xml:space="preserve"> tiene a bien proponer al pleno del H. Consejo General Universitario los siguientes:</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rPr>
          <w:rFonts w:ascii="AvantGarde Bk BT" w:hAnsi="AvantGarde Bk BT" w:cs="Arial"/>
          <w:b/>
          <w:sz w:val="20"/>
          <w:szCs w:val="20"/>
        </w:rPr>
      </w:pPr>
      <w:r w:rsidRPr="00FD5641">
        <w:rPr>
          <w:rFonts w:ascii="AvantGarde Bk BT" w:hAnsi="AvantGarde Bk BT" w:cs="Arial"/>
          <w:b/>
          <w:sz w:val="20"/>
          <w:szCs w:val="20"/>
        </w:rPr>
        <w:br w:type="page"/>
      </w:r>
    </w:p>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lastRenderedPageBreak/>
        <w:t>RESOLUTIVOS</w:t>
      </w: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pStyle w:val="Textoindependiente"/>
        <w:spacing w:after="0"/>
        <w:jc w:val="both"/>
        <w:rPr>
          <w:rFonts w:ascii="AvantGarde Bk BT" w:hAnsi="AvantGarde Bk BT" w:cs="Arial"/>
          <w:sz w:val="20"/>
          <w:lang w:val="es-MX"/>
        </w:rPr>
      </w:pPr>
      <w:r w:rsidRPr="00FD5641">
        <w:rPr>
          <w:rFonts w:ascii="AvantGarde Bk BT" w:hAnsi="AvantGarde Bk BT" w:cs="Arial"/>
          <w:b/>
          <w:sz w:val="20"/>
          <w:lang w:val="es-MX"/>
        </w:rPr>
        <w:t>PRIMERO</w:t>
      </w:r>
      <w:r w:rsidRPr="00FD5641">
        <w:rPr>
          <w:rFonts w:ascii="AvantGarde Bk BT" w:hAnsi="AvantGarde Bk BT" w:cs="Arial"/>
          <w:sz w:val="20"/>
          <w:lang w:val="es-MX"/>
        </w:rPr>
        <w:t xml:space="preserve">. Se </w:t>
      </w:r>
      <w:r w:rsidRPr="00FD5641">
        <w:rPr>
          <w:rFonts w:ascii="AvantGarde Bk BT" w:hAnsi="AvantGarde Bk BT" w:cs="Arial"/>
          <w:b/>
          <w:sz w:val="20"/>
          <w:lang w:val="es-MX"/>
        </w:rPr>
        <w:t>crea</w:t>
      </w:r>
      <w:r w:rsidRPr="00FD5641">
        <w:rPr>
          <w:rFonts w:ascii="AvantGarde Bk BT" w:hAnsi="AvantGarde Bk BT" w:cs="Arial"/>
          <w:sz w:val="20"/>
          <w:lang w:val="es-MX"/>
        </w:rPr>
        <w:t xml:space="preserve"> el</w:t>
      </w:r>
      <w:r w:rsidRPr="00FD5641">
        <w:rPr>
          <w:rFonts w:ascii="AvantGarde Bk BT" w:hAnsi="AvantGarde Bk BT" w:cs="Arial"/>
          <w:b/>
          <w:sz w:val="20"/>
          <w:lang w:val="es-MX"/>
        </w:rPr>
        <w:t xml:space="preserve"> Centro de Estudios de la Hacienda Pública </w:t>
      </w:r>
      <w:r w:rsidRPr="00FD5641">
        <w:rPr>
          <w:rFonts w:ascii="AvantGarde Bk BT" w:hAnsi="AvantGarde Bk BT" w:cs="Arial"/>
          <w:sz w:val="20"/>
          <w:lang w:val="es-MX"/>
        </w:rPr>
        <w:t>adscrito al Departamento de Impuestos de la División de Contaduría del Centro Universitario de Ciencias Económico Administrativas.</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jc w:val="both"/>
        <w:rPr>
          <w:rFonts w:ascii="AvantGarde Bk BT" w:hAnsi="AvantGarde Bk BT" w:cs="Arial"/>
          <w:sz w:val="20"/>
          <w:szCs w:val="20"/>
        </w:rPr>
      </w:pPr>
      <w:r w:rsidRPr="00FD5641">
        <w:rPr>
          <w:rFonts w:ascii="AvantGarde Bk BT" w:hAnsi="AvantGarde Bk BT" w:cs="Arial"/>
          <w:b/>
          <w:sz w:val="20"/>
          <w:szCs w:val="20"/>
        </w:rPr>
        <w:t>SEGUNDO.</w:t>
      </w:r>
      <w:r w:rsidRPr="00FD5641">
        <w:rPr>
          <w:rFonts w:ascii="AvantGarde Bk BT" w:hAnsi="AvantGarde Bk BT" w:cs="Arial"/>
          <w:sz w:val="20"/>
          <w:szCs w:val="20"/>
        </w:rPr>
        <w:t xml:space="preserve"> El Centro de Estudios de la Hacienda Pública de la Universidad de Guadalajara contará con un director. El director durará en su cargo tres años, contados a partir de los treinta días siguientes en que haya sido designado el Rector del Centro Universitario.</w:t>
      </w:r>
    </w:p>
    <w:p w:rsidR="00F61024" w:rsidRDefault="00F61024" w:rsidP="00670A3D">
      <w:pPr>
        <w:jc w:val="both"/>
        <w:rPr>
          <w:rFonts w:ascii="AvantGarde Bk BT" w:hAnsi="AvantGarde Bk BT" w:cs="Arial"/>
          <w:sz w:val="20"/>
          <w:szCs w:val="20"/>
        </w:rPr>
      </w:pPr>
    </w:p>
    <w:p w:rsidR="00F61024" w:rsidRPr="00FD5641" w:rsidRDefault="00F61024" w:rsidP="00670A3D">
      <w:pPr>
        <w:jc w:val="both"/>
        <w:rPr>
          <w:rFonts w:ascii="AvantGarde Bk BT" w:hAnsi="AvantGarde Bk BT" w:cs="Arial"/>
          <w:sz w:val="20"/>
          <w:szCs w:val="20"/>
        </w:rPr>
      </w:pPr>
      <w:r w:rsidRPr="00FD5641">
        <w:rPr>
          <w:rFonts w:ascii="AvantGarde Bk BT" w:hAnsi="AvantGarde Bk BT" w:cs="Arial"/>
          <w:sz w:val="20"/>
          <w:szCs w:val="20"/>
        </w:rPr>
        <w:t xml:space="preserve">La gestión del primer Director del Centro de Estudios de la Hacienda Pública iniciará a partir de la ejecución del presente dictamen y tendrá vigencia hasta </w:t>
      </w:r>
      <w:r w:rsidRPr="0042431C">
        <w:rPr>
          <w:rFonts w:ascii="AvantGarde Bk BT" w:hAnsi="AvantGarde Bk BT" w:cs="Arial"/>
          <w:sz w:val="20"/>
          <w:szCs w:val="20"/>
        </w:rPr>
        <w:t xml:space="preserve">el 31 de mayo </w:t>
      </w:r>
      <w:r w:rsidR="00C70FB3" w:rsidRPr="0042431C">
        <w:rPr>
          <w:rFonts w:ascii="AvantGarde Bk BT" w:hAnsi="AvantGarde Bk BT" w:cs="Arial"/>
          <w:sz w:val="20"/>
          <w:szCs w:val="20"/>
        </w:rPr>
        <w:t>de 2025</w:t>
      </w:r>
      <w:r w:rsidRPr="0042431C">
        <w:rPr>
          <w:rFonts w:ascii="AvantGarde Bk BT" w:hAnsi="AvantGarde Bk BT" w:cs="Arial"/>
          <w:sz w:val="20"/>
          <w:szCs w:val="20"/>
        </w:rPr>
        <w:t>.</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jc w:val="both"/>
        <w:rPr>
          <w:rFonts w:ascii="AvantGarde Bk BT" w:hAnsi="AvantGarde Bk BT" w:cs="Arial"/>
          <w:sz w:val="20"/>
          <w:szCs w:val="20"/>
        </w:rPr>
      </w:pPr>
      <w:r w:rsidRPr="00FD5641">
        <w:rPr>
          <w:rFonts w:ascii="AvantGarde Bk BT" w:hAnsi="AvantGarde Bk BT" w:cs="Arial"/>
          <w:sz w:val="20"/>
          <w:szCs w:val="20"/>
        </w:rPr>
        <w:t>Serán requisitos para ser designado director del Centro de Estudios de la Hacienda Pública los siguientes:</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pStyle w:val="Prrafodelista"/>
        <w:numPr>
          <w:ilvl w:val="2"/>
          <w:numId w:val="17"/>
        </w:numPr>
        <w:ind w:left="851" w:hanging="284"/>
        <w:jc w:val="both"/>
        <w:rPr>
          <w:rFonts w:ascii="AvantGarde Bk BT" w:hAnsi="AvantGarde Bk BT" w:cs="Arial"/>
          <w:sz w:val="20"/>
          <w:szCs w:val="20"/>
        </w:rPr>
      </w:pPr>
      <w:r w:rsidRPr="00FD5641">
        <w:rPr>
          <w:rFonts w:ascii="AvantGarde Bk BT" w:hAnsi="AvantGarde Bk BT" w:cs="Arial"/>
          <w:sz w:val="20"/>
          <w:szCs w:val="20"/>
        </w:rPr>
        <w:t>Ser profesor de tiempo completo con la categoría académica de titular, y</w:t>
      </w:r>
    </w:p>
    <w:p w:rsidR="00F61024" w:rsidRPr="00FD5641" w:rsidRDefault="00F61024" w:rsidP="00670A3D">
      <w:pPr>
        <w:pStyle w:val="Prrafodelista"/>
        <w:numPr>
          <w:ilvl w:val="0"/>
          <w:numId w:val="17"/>
        </w:numPr>
        <w:ind w:left="851" w:hanging="284"/>
        <w:jc w:val="both"/>
        <w:rPr>
          <w:rFonts w:ascii="AvantGarde Bk BT" w:hAnsi="AvantGarde Bk BT" w:cs="Arial"/>
          <w:sz w:val="20"/>
          <w:szCs w:val="20"/>
        </w:rPr>
      </w:pPr>
      <w:r w:rsidRPr="00FD5641">
        <w:rPr>
          <w:rFonts w:ascii="AvantGarde Bk BT" w:hAnsi="AvantGarde Bk BT" w:cs="Arial"/>
          <w:sz w:val="20"/>
          <w:szCs w:val="20"/>
        </w:rPr>
        <w:t>Ser de reconocida capacidad académica en el objeto de estudio de Instituto de Investigación.</w:t>
      </w:r>
    </w:p>
    <w:p w:rsidR="00F61024" w:rsidRDefault="00F61024" w:rsidP="00670A3D">
      <w:pPr>
        <w:jc w:val="both"/>
        <w:rPr>
          <w:rFonts w:ascii="AvantGarde Bk BT" w:hAnsi="AvantGarde Bk BT" w:cs="Arial"/>
          <w:sz w:val="20"/>
          <w:szCs w:val="20"/>
        </w:rPr>
      </w:pPr>
    </w:p>
    <w:p w:rsidR="00F61024" w:rsidRPr="00FD5641" w:rsidRDefault="00F61024" w:rsidP="00670A3D">
      <w:pPr>
        <w:ind w:right="-2"/>
        <w:jc w:val="both"/>
        <w:rPr>
          <w:rFonts w:ascii="AvantGarde Bk BT" w:hAnsi="AvantGarde Bk BT" w:cs="Arial"/>
          <w:sz w:val="20"/>
          <w:szCs w:val="20"/>
          <w:lang w:eastAsia="es-MX"/>
        </w:rPr>
      </w:pPr>
      <w:r w:rsidRPr="00FD5641">
        <w:rPr>
          <w:rFonts w:ascii="AvantGarde Bk BT" w:hAnsi="AvantGarde Bk BT" w:cs="Arial"/>
          <w:b/>
          <w:sz w:val="20"/>
          <w:szCs w:val="20"/>
        </w:rPr>
        <w:t>TERCERO</w:t>
      </w:r>
      <w:r w:rsidRPr="00FD5641">
        <w:rPr>
          <w:rFonts w:ascii="AvantGarde Bk BT" w:hAnsi="AvantGarde Bk BT" w:cs="Arial"/>
          <w:sz w:val="20"/>
          <w:szCs w:val="20"/>
        </w:rPr>
        <w:t xml:space="preserve">. El Centro de Estudios de la Hacienda Pública se ubicará </w:t>
      </w:r>
      <w:r w:rsidRPr="00FD5641">
        <w:rPr>
          <w:rFonts w:ascii="AvantGarde Bk BT" w:hAnsi="AvantGarde Bk BT" w:cs="Arial"/>
          <w:sz w:val="20"/>
          <w:szCs w:val="20"/>
          <w:lang w:eastAsia="es-MX"/>
        </w:rPr>
        <w:t>físicamente en las instalaciones que defina el Centro Universitario.</w:t>
      </w:r>
    </w:p>
    <w:p w:rsidR="00F61024" w:rsidRPr="00FD5641" w:rsidRDefault="00F61024" w:rsidP="00670A3D">
      <w:pPr>
        <w:jc w:val="both"/>
        <w:rPr>
          <w:rFonts w:ascii="AvantGarde Bk BT" w:hAnsi="AvantGarde Bk BT" w:cs="Arial"/>
          <w:sz w:val="20"/>
          <w:szCs w:val="20"/>
        </w:rPr>
      </w:pPr>
    </w:p>
    <w:p w:rsidR="00F61024" w:rsidRPr="00FD5641" w:rsidRDefault="00F61024" w:rsidP="00670A3D">
      <w:pPr>
        <w:jc w:val="both"/>
        <w:rPr>
          <w:rFonts w:ascii="AvantGarde Bk BT" w:hAnsi="AvantGarde Bk BT" w:cs="Arial"/>
          <w:sz w:val="20"/>
          <w:szCs w:val="20"/>
        </w:rPr>
      </w:pPr>
      <w:r w:rsidRPr="00FD5641">
        <w:rPr>
          <w:rFonts w:ascii="AvantGarde Bk BT" w:hAnsi="AvantGarde Bk BT" w:cs="Arial"/>
          <w:b/>
          <w:sz w:val="20"/>
          <w:szCs w:val="20"/>
        </w:rPr>
        <w:t>CUARTO</w:t>
      </w:r>
      <w:r w:rsidRPr="00FD5641">
        <w:rPr>
          <w:rFonts w:ascii="AvantGarde Bk BT" w:hAnsi="AvantGarde Bk BT" w:cs="Arial"/>
          <w:sz w:val="20"/>
          <w:szCs w:val="20"/>
        </w:rPr>
        <w:t>. El Centro de Estudios de la Hacienda Pública contará con los instrumentos de planeación, programación, presupuestación y evaluación para realización de sus proyectos o programas, de acuerdo con lo establecido por el Centro Universitario de Ciencias Económico Administrativas. Estará incorporado presupuestalmente al Departamento de Impuestos y todo gasto extraordinario será con cargo al techo presupuestal del Centro Universitario de Ciencias Económico Administrativas y de los recursos externos que logre captar el Centro de Estudios de la Hacienda Pública a través de su oferta de servicios profesionales.</w:t>
      </w:r>
    </w:p>
    <w:p w:rsidR="00F61024" w:rsidRDefault="00F61024" w:rsidP="00670A3D">
      <w:pPr>
        <w:pStyle w:val="Textoindependiente"/>
        <w:spacing w:after="0"/>
        <w:rPr>
          <w:rFonts w:ascii="AvantGarde Bk BT" w:hAnsi="AvantGarde Bk BT" w:cs="Arial"/>
          <w:sz w:val="20"/>
          <w:lang w:val="es-MX"/>
        </w:rPr>
      </w:pPr>
    </w:p>
    <w:p w:rsidR="00C70FB3" w:rsidRDefault="00C70FB3" w:rsidP="00670A3D">
      <w:pPr>
        <w:jc w:val="both"/>
        <w:rPr>
          <w:rFonts w:ascii="AvantGarde Bk BT" w:hAnsi="AvantGarde Bk BT" w:cs="Arial"/>
          <w:color w:val="3333FF"/>
          <w:sz w:val="20"/>
          <w:szCs w:val="20"/>
        </w:rPr>
      </w:pPr>
    </w:p>
    <w:p w:rsidR="00F90AA1" w:rsidRPr="00FD5641" w:rsidRDefault="00F90AA1" w:rsidP="00670A3D">
      <w:pPr>
        <w:pStyle w:val="Textoindependiente"/>
        <w:spacing w:after="0"/>
        <w:rPr>
          <w:rFonts w:ascii="AvantGarde Bk BT" w:hAnsi="AvantGarde Bk BT" w:cs="Arial"/>
          <w:sz w:val="20"/>
          <w:lang w:val="es-MX"/>
        </w:rPr>
      </w:pPr>
    </w:p>
    <w:p w:rsidR="00F61024" w:rsidRPr="00FD5641" w:rsidRDefault="00F61024" w:rsidP="00670A3D">
      <w:pPr>
        <w:rPr>
          <w:rFonts w:ascii="AvantGarde Bk BT" w:hAnsi="AvantGarde Bk BT" w:cs="Arial"/>
          <w:b/>
          <w:sz w:val="20"/>
          <w:szCs w:val="20"/>
        </w:rPr>
      </w:pPr>
      <w:r w:rsidRPr="00FD5641">
        <w:rPr>
          <w:rFonts w:ascii="AvantGarde Bk BT" w:hAnsi="AvantGarde Bk BT" w:cs="Arial"/>
          <w:b/>
          <w:sz w:val="20"/>
          <w:szCs w:val="20"/>
        </w:rPr>
        <w:br w:type="page"/>
      </w:r>
    </w:p>
    <w:p w:rsidR="00F61024" w:rsidRPr="00FD5641" w:rsidRDefault="00F61024" w:rsidP="00670A3D">
      <w:pPr>
        <w:ind w:right="-2"/>
        <w:jc w:val="both"/>
        <w:rPr>
          <w:rFonts w:ascii="AvantGarde Bk BT" w:hAnsi="AvantGarde Bk BT" w:cs="Arial"/>
          <w:sz w:val="20"/>
          <w:szCs w:val="20"/>
        </w:rPr>
      </w:pPr>
      <w:r w:rsidRPr="00FD5641">
        <w:rPr>
          <w:rFonts w:ascii="AvantGarde Bk BT" w:hAnsi="AvantGarde Bk BT" w:cs="Arial"/>
          <w:b/>
          <w:sz w:val="20"/>
          <w:szCs w:val="20"/>
        </w:rPr>
        <w:lastRenderedPageBreak/>
        <w:t>QUINTO</w:t>
      </w:r>
      <w:r w:rsidRPr="00FD5641">
        <w:rPr>
          <w:rFonts w:ascii="AvantGarde Bk BT" w:hAnsi="AvantGarde Bk BT" w:cs="Arial"/>
          <w:sz w:val="20"/>
          <w:szCs w:val="20"/>
        </w:rPr>
        <w:t xml:space="preserve">. </w:t>
      </w:r>
      <w:r w:rsidRPr="00FD5641">
        <w:rPr>
          <w:rFonts w:ascii="AvantGarde Bk BT" w:hAnsi="AvantGarde Bk BT" w:cs="Arial"/>
          <w:sz w:val="20"/>
          <w:szCs w:val="20"/>
          <w:lang w:eastAsia="es-MX"/>
        </w:rPr>
        <w:t>Ejecútese el presente Dictamen en los términos de la fracción II del artículo 35, de la Ley Orgánica Universitaria de la Universidad de Guadalajara.</w:t>
      </w:r>
    </w:p>
    <w:p w:rsidR="00F61024" w:rsidRPr="00FD5641" w:rsidRDefault="00F61024" w:rsidP="00670A3D">
      <w:pPr>
        <w:tabs>
          <w:tab w:val="left" w:pos="0"/>
        </w:tabs>
        <w:suppressAutoHyphens/>
        <w:jc w:val="both"/>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A t e n t a m e n t e</w:t>
      </w:r>
    </w:p>
    <w:p w:rsidR="00F61024" w:rsidRPr="00FD5641" w:rsidRDefault="00F61024" w:rsidP="00670A3D">
      <w:pPr>
        <w:jc w:val="center"/>
        <w:rPr>
          <w:rFonts w:ascii="AvantGarde Bk BT" w:hAnsi="AvantGarde Bk BT" w:cs="Arial"/>
          <w:b/>
          <w:sz w:val="20"/>
          <w:szCs w:val="20"/>
        </w:rPr>
      </w:pPr>
      <w:r w:rsidRPr="00FD5641">
        <w:rPr>
          <w:rFonts w:ascii="AvantGarde Bk BT" w:hAnsi="AvantGarde Bk BT" w:cs="Arial"/>
          <w:b/>
          <w:sz w:val="20"/>
          <w:szCs w:val="20"/>
        </w:rPr>
        <w:t>"PIENSA Y TRABAJA"</w:t>
      </w:r>
    </w:p>
    <w:p w:rsidR="00F61024" w:rsidRPr="00FD5641" w:rsidRDefault="00F61024" w:rsidP="00670A3D">
      <w:pPr>
        <w:jc w:val="center"/>
        <w:rPr>
          <w:rFonts w:ascii="AvantGarde Bk BT" w:hAnsi="AvantGarde Bk BT"/>
          <w:b/>
          <w:bCs/>
          <w:i/>
          <w:iCs/>
          <w:sz w:val="20"/>
          <w:szCs w:val="20"/>
          <w:shd w:val="clear" w:color="auto" w:fill="FFFFFF"/>
        </w:rPr>
      </w:pPr>
      <w:r w:rsidRPr="00FD5641">
        <w:rPr>
          <w:rFonts w:ascii="AvantGarde Bk BT" w:hAnsi="AvantGarde Bk BT"/>
          <w:b/>
          <w:bCs/>
          <w:i/>
          <w:iCs/>
          <w:sz w:val="20"/>
          <w:szCs w:val="20"/>
          <w:shd w:val="clear" w:color="auto" w:fill="FFFFFF"/>
        </w:rPr>
        <w:t xml:space="preserve">        “2022, Guadalajara, hogar de la Feria Internacional del Libro y</w:t>
      </w:r>
    </w:p>
    <w:p w:rsidR="00F61024" w:rsidRPr="00FD5641" w:rsidRDefault="00F61024" w:rsidP="00670A3D">
      <w:pPr>
        <w:jc w:val="center"/>
        <w:rPr>
          <w:rFonts w:ascii="AvantGarde Bk BT" w:hAnsi="AvantGarde Bk BT" w:cs="Arial"/>
          <w:b/>
          <w:sz w:val="20"/>
          <w:szCs w:val="20"/>
        </w:rPr>
      </w:pPr>
      <w:r w:rsidRPr="00FD5641">
        <w:rPr>
          <w:rFonts w:ascii="AvantGarde Bk BT" w:hAnsi="AvantGarde Bk BT"/>
          <w:b/>
          <w:bCs/>
          <w:i/>
          <w:iCs/>
          <w:sz w:val="20"/>
          <w:szCs w:val="20"/>
          <w:shd w:val="clear" w:color="auto" w:fill="FFFFFF"/>
        </w:rPr>
        <w:t xml:space="preserve"> Capital Mundial del Libro”</w:t>
      </w: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Guadalajara, Jal., 20 de septiembre de 2022</w:t>
      </w: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 xml:space="preserve">Comisiones Permanentes de Educación y de Hacienda </w:t>
      </w:r>
    </w:p>
    <w:p w:rsidR="00F61024" w:rsidRPr="00FD5641" w:rsidRDefault="00F61024" w:rsidP="00670A3D">
      <w:pPr>
        <w:ind w:left="720"/>
        <w:rPr>
          <w:rFonts w:ascii="AvantGarde Bk BT" w:hAnsi="AvantGarde Bk BT" w:cs="Arial"/>
          <w:b/>
          <w:bCs/>
          <w:sz w:val="20"/>
          <w:szCs w:val="20"/>
        </w:rPr>
      </w:pPr>
    </w:p>
    <w:p w:rsidR="00F61024" w:rsidRPr="00FD5641" w:rsidRDefault="00F61024" w:rsidP="00670A3D">
      <w:pPr>
        <w:ind w:left="720"/>
        <w:rPr>
          <w:rFonts w:ascii="AvantGarde Bk BT" w:hAnsi="AvantGarde Bk BT" w:cs="Arial"/>
          <w:b/>
          <w:bCs/>
          <w:sz w:val="20"/>
          <w:szCs w:val="20"/>
        </w:rPr>
      </w:pPr>
    </w:p>
    <w:p w:rsidR="00F61024" w:rsidRPr="00FD5641" w:rsidRDefault="00F61024" w:rsidP="00670A3D">
      <w:pPr>
        <w:ind w:left="720"/>
        <w:rPr>
          <w:rFonts w:ascii="AvantGarde Bk BT" w:hAnsi="AvantGarde Bk BT" w:cs="Arial"/>
          <w:b/>
          <w:bCs/>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b/>
          <w:bCs/>
          <w:sz w:val="20"/>
          <w:szCs w:val="20"/>
        </w:rPr>
      </w:pPr>
      <w:r w:rsidRPr="00FD5641">
        <w:rPr>
          <w:rFonts w:ascii="AvantGarde Bk BT" w:hAnsi="AvantGarde Bk BT" w:cs="Arial"/>
          <w:b/>
          <w:bCs/>
          <w:sz w:val="20"/>
          <w:szCs w:val="20"/>
        </w:rPr>
        <w:t>Dr. Ricardo Villanueva Lomelí</w:t>
      </w: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Presidente</w:t>
      </w:r>
    </w:p>
    <w:tbl>
      <w:tblPr>
        <w:tblW w:w="0" w:type="auto"/>
        <w:jc w:val="center"/>
        <w:tblCellMar>
          <w:left w:w="0" w:type="dxa"/>
          <w:right w:w="0" w:type="dxa"/>
        </w:tblCellMar>
        <w:tblLook w:val="04A0" w:firstRow="1" w:lastRow="0" w:firstColumn="1" w:lastColumn="0" w:noHBand="0" w:noVBand="1"/>
      </w:tblPr>
      <w:tblGrid>
        <w:gridCol w:w="4313"/>
        <w:gridCol w:w="4517"/>
      </w:tblGrid>
      <w:tr w:rsidR="00F61024" w:rsidRPr="00FD5641" w:rsidTr="00892112">
        <w:trPr>
          <w:jc w:val="center"/>
        </w:trPr>
        <w:tc>
          <w:tcPr>
            <w:tcW w:w="4313" w:type="dxa"/>
            <w:tcMar>
              <w:top w:w="0" w:type="dxa"/>
              <w:left w:w="108" w:type="dxa"/>
              <w:bottom w:w="0" w:type="dxa"/>
              <w:right w:w="108" w:type="dxa"/>
            </w:tcMar>
            <w:vAlign w:val="center"/>
          </w:tcPr>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Dr. Juan Manuel Durán Juárez</w:t>
            </w:r>
          </w:p>
        </w:tc>
        <w:tc>
          <w:tcPr>
            <w:tcW w:w="4517" w:type="dxa"/>
            <w:tcMar>
              <w:top w:w="0" w:type="dxa"/>
              <w:left w:w="108" w:type="dxa"/>
              <w:bottom w:w="0" w:type="dxa"/>
              <w:right w:w="108" w:type="dxa"/>
            </w:tcMar>
            <w:vAlign w:val="center"/>
          </w:tcPr>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 xml:space="preserve">Dra. Irma Leticia Leal Moya </w:t>
            </w:r>
          </w:p>
        </w:tc>
      </w:tr>
      <w:tr w:rsidR="00F61024" w:rsidRPr="00FD5641" w:rsidTr="00892112">
        <w:trPr>
          <w:jc w:val="center"/>
        </w:trPr>
        <w:tc>
          <w:tcPr>
            <w:tcW w:w="4313" w:type="dxa"/>
            <w:tcMar>
              <w:top w:w="0" w:type="dxa"/>
              <w:left w:w="108" w:type="dxa"/>
              <w:bottom w:w="0" w:type="dxa"/>
              <w:right w:w="108" w:type="dxa"/>
            </w:tcMar>
          </w:tcPr>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 xml:space="preserve">Mtra. Karla Alejandrina </w:t>
            </w:r>
            <w:proofErr w:type="spellStart"/>
            <w:r w:rsidRPr="00FD5641">
              <w:rPr>
                <w:rFonts w:ascii="AvantGarde Bk BT" w:hAnsi="AvantGarde Bk BT" w:cs="Arial"/>
                <w:sz w:val="20"/>
                <w:szCs w:val="20"/>
              </w:rPr>
              <w:t>Planter</w:t>
            </w:r>
            <w:proofErr w:type="spellEnd"/>
            <w:r w:rsidRPr="00FD5641">
              <w:rPr>
                <w:rFonts w:ascii="AvantGarde Bk BT" w:hAnsi="AvantGarde Bk BT" w:cs="Arial"/>
                <w:sz w:val="20"/>
                <w:szCs w:val="20"/>
              </w:rPr>
              <w:t xml:space="preserve"> Pérez</w:t>
            </w:r>
          </w:p>
          <w:p w:rsidR="00F61024" w:rsidRPr="00FD5641" w:rsidRDefault="00F61024" w:rsidP="00670A3D">
            <w:pPr>
              <w:jc w:val="center"/>
              <w:rPr>
                <w:rFonts w:ascii="AvantGarde Bk BT" w:hAnsi="AvantGarde Bk BT" w:cs="Arial"/>
                <w:sz w:val="20"/>
                <w:szCs w:val="20"/>
              </w:rPr>
            </w:pPr>
          </w:p>
        </w:tc>
        <w:tc>
          <w:tcPr>
            <w:tcW w:w="4517" w:type="dxa"/>
            <w:tcMar>
              <w:top w:w="0" w:type="dxa"/>
              <w:left w:w="108" w:type="dxa"/>
              <w:bottom w:w="0" w:type="dxa"/>
              <w:right w:w="108" w:type="dxa"/>
            </w:tcMar>
          </w:tcPr>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Mtro. Luis Gustavo Padilla Montes</w:t>
            </w:r>
          </w:p>
        </w:tc>
      </w:tr>
      <w:tr w:rsidR="00F61024" w:rsidRPr="00FD5641" w:rsidTr="00892112">
        <w:trPr>
          <w:jc w:val="center"/>
        </w:trPr>
        <w:tc>
          <w:tcPr>
            <w:tcW w:w="4313" w:type="dxa"/>
            <w:tcMar>
              <w:top w:w="0" w:type="dxa"/>
              <w:left w:w="108" w:type="dxa"/>
              <w:bottom w:w="0" w:type="dxa"/>
              <w:right w:w="108" w:type="dxa"/>
            </w:tcMar>
          </w:tcPr>
          <w:p w:rsidR="00F61024" w:rsidRDefault="00F61024" w:rsidP="00670A3D">
            <w:pPr>
              <w:rPr>
                <w:rFonts w:ascii="AvantGarde Bk BT" w:hAnsi="AvantGarde Bk BT" w:cs="Arial"/>
                <w:sz w:val="20"/>
                <w:szCs w:val="20"/>
              </w:rPr>
            </w:pPr>
          </w:p>
          <w:p w:rsidR="0042431C" w:rsidRPr="00FD5641" w:rsidRDefault="0042431C" w:rsidP="00670A3D">
            <w:pP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Dr. Jaime Federico Andrade Villanueva</w:t>
            </w:r>
          </w:p>
        </w:tc>
        <w:tc>
          <w:tcPr>
            <w:tcW w:w="4517" w:type="dxa"/>
            <w:tcMar>
              <w:top w:w="0" w:type="dxa"/>
              <w:left w:w="108" w:type="dxa"/>
              <w:bottom w:w="0" w:type="dxa"/>
              <w:right w:w="108" w:type="dxa"/>
            </w:tcMar>
          </w:tcPr>
          <w:p w:rsidR="00F61024" w:rsidRPr="00FD5641" w:rsidRDefault="00F61024" w:rsidP="00670A3D">
            <w:pPr>
              <w:jc w:val="center"/>
              <w:rPr>
                <w:rFonts w:ascii="AvantGarde Bk BT" w:hAnsi="AvantGarde Bk BT" w:cs="Arial"/>
                <w:sz w:val="20"/>
                <w:szCs w:val="20"/>
              </w:rPr>
            </w:pPr>
          </w:p>
          <w:p w:rsidR="00F61024" w:rsidRDefault="00F61024" w:rsidP="00670A3D">
            <w:pPr>
              <w:jc w:val="center"/>
              <w:rPr>
                <w:rFonts w:ascii="AvantGarde Bk BT" w:hAnsi="AvantGarde Bk BT" w:cs="Arial"/>
                <w:sz w:val="20"/>
                <w:szCs w:val="20"/>
              </w:rPr>
            </w:pPr>
          </w:p>
          <w:p w:rsidR="0042431C" w:rsidRPr="00FD5641" w:rsidRDefault="0042431C"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Lic. Jesús Palafox Yáñez</w:t>
            </w:r>
          </w:p>
        </w:tc>
      </w:tr>
      <w:tr w:rsidR="00F61024" w:rsidRPr="00FD5641" w:rsidTr="00892112">
        <w:trPr>
          <w:jc w:val="center"/>
        </w:trPr>
        <w:tc>
          <w:tcPr>
            <w:tcW w:w="4313" w:type="dxa"/>
            <w:tcMar>
              <w:top w:w="0" w:type="dxa"/>
              <w:left w:w="108" w:type="dxa"/>
              <w:bottom w:w="0" w:type="dxa"/>
              <w:right w:w="108" w:type="dxa"/>
            </w:tcMar>
          </w:tcPr>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Default="00F61024" w:rsidP="00670A3D">
            <w:pPr>
              <w:jc w:val="center"/>
              <w:rPr>
                <w:rFonts w:ascii="AvantGarde Bk BT" w:hAnsi="AvantGarde Bk BT" w:cs="Arial"/>
                <w:sz w:val="20"/>
                <w:szCs w:val="20"/>
              </w:rPr>
            </w:pPr>
          </w:p>
          <w:p w:rsidR="0042431C" w:rsidRPr="00FD5641" w:rsidRDefault="0042431C"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C. Daniel Cortés Largo</w:t>
            </w:r>
          </w:p>
        </w:tc>
        <w:tc>
          <w:tcPr>
            <w:tcW w:w="4517" w:type="dxa"/>
            <w:tcMar>
              <w:top w:w="0" w:type="dxa"/>
              <w:left w:w="108" w:type="dxa"/>
              <w:bottom w:w="0" w:type="dxa"/>
              <w:right w:w="108" w:type="dxa"/>
            </w:tcMar>
          </w:tcPr>
          <w:p w:rsidR="00F61024" w:rsidRPr="00FD5641" w:rsidRDefault="00F61024" w:rsidP="00670A3D">
            <w:pPr>
              <w:jc w:val="center"/>
              <w:rPr>
                <w:rFonts w:ascii="AvantGarde Bk BT" w:hAnsi="AvantGarde Bk BT" w:cs="Arial"/>
                <w:sz w:val="20"/>
                <w:szCs w:val="20"/>
              </w:rPr>
            </w:pPr>
          </w:p>
          <w:p w:rsidR="00F61024" w:rsidRDefault="00F61024" w:rsidP="00670A3D">
            <w:pPr>
              <w:jc w:val="center"/>
              <w:rPr>
                <w:rFonts w:ascii="AvantGarde Bk BT" w:hAnsi="AvantGarde Bk BT" w:cs="Arial"/>
                <w:sz w:val="20"/>
                <w:szCs w:val="20"/>
              </w:rPr>
            </w:pPr>
          </w:p>
          <w:p w:rsidR="0042431C" w:rsidRPr="00FD5641" w:rsidRDefault="0042431C"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C. Francisco Javier Armenta Araiza</w:t>
            </w:r>
          </w:p>
        </w:tc>
      </w:tr>
    </w:tbl>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sz w:val="20"/>
          <w:szCs w:val="20"/>
        </w:rPr>
      </w:pPr>
    </w:p>
    <w:p w:rsidR="00F61024" w:rsidRPr="00FD5641" w:rsidRDefault="00F61024" w:rsidP="00670A3D">
      <w:pPr>
        <w:jc w:val="center"/>
        <w:rPr>
          <w:rFonts w:ascii="AvantGarde Bk BT" w:hAnsi="AvantGarde Bk BT" w:cs="Arial"/>
          <w:b/>
          <w:bCs/>
          <w:sz w:val="20"/>
          <w:szCs w:val="20"/>
        </w:rPr>
      </w:pPr>
      <w:r w:rsidRPr="00FD5641">
        <w:rPr>
          <w:rFonts w:ascii="AvantGarde Bk BT" w:hAnsi="AvantGarde Bk BT" w:cs="Arial"/>
          <w:b/>
          <w:bCs/>
          <w:sz w:val="20"/>
          <w:szCs w:val="20"/>
        </w:rPr>
        <w:t>Mtro. Guillermo Arturo Gómez Mata</w:t>
      </w:r>
    </w:p>
    <w:p w:rsidR="00F61024" w:rsidRPr="00FD5641" w:rsidRDefault="00F61024" w:rsidP="00670A3D">
      <w:pPr>
        <w:jc w:val="center"/>
        <w:rPr>
          <w:rFonts w:ascii="AvantGarde Bk BT" w:hAnsi="AvantGarde Bk BT" w:cs="Arial"/>
          <w:sz w:val="20"/>
          <w:szCs w:val="20"/>
        </w:rPr>
      </w:pPr>
      <w:r w:rsidRPr="00FD5641">
        <w:rPr>
          <w:rFonts w:ascii="AvantGarde Bk BT" w:hAnsi="AvantGarde Bk BT" w:cs="Arial"/>
          <w:sz w:val="20"/>
          <w:szCs w:val="20"/>
        </w:rPr>
        <w:t>Secretario de Actas y Acuerdos</w:t>
      </w:r>
    </w:p>
    <w:p w:rsidR="00F61024" w:rsidRPr="00FD5641" w:rsidRDefault="00F61024" w:rsidP="00670A3D">
      <w:pPr>
        <w:tabs>
          <w:tab w:val="left" w:pos="0"/>
        </w:tabs>
        <w:suppressAutoHyphens/>
        <w:jc w:val="both"/>
        <w:rPr>
          <w:rFonts w:ascii="AvantGarde Bk BT" w:hAnsi="AvantGarde Bk BT" w:cs="Arial"/>
          <w:sz w:val="20"/>
          <w:szCs w:val="20"/>
        </w:rPr>
      </w:pPr>
    </w:p>
    <w:p w:rsidR="00F61024" w:rsidRPr="005A1401" w:rsidRDefault="00F61024" w:rsidP="00670A3D">
      <w:pPr>
        <w:tabs>
          <w:tab w:val="left" w:pos="0"/>
        </w:tabs>
        <w:suppressAutoHyphens/>
        <w:jc w:val="both"/>
        <w:rPr>
          <w:rFonts w:ascii="AvantGarde Bk BT" w:hAnsi="AvantGarde Bk BT" w:cs="Arial"/>
          <w:b/>
          <w:bCs/>
          <w:spacing w:val="-3"/>
          <w:sz w:val="20"/>
          <w:szCs w:val="20"/>
        </w:rPr>
      </w:pPr>
    </w:p>
    <w:sectPr w:rsidR="00F61024" w:rsidRPr="005A1401" w:rsidSect="00EC3EA2">
      <w:headerReference w:type="default" r:id="rId8"/>
      <w:footerReference w:type="default" r:id="rId9"/>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4F" w:rsidRDefault="0008714F" w:rsidP="00F61024">
      <w:r>
        <w:separator/>
      </w:r>
    </w:p>
  </w:endnote>
  <w:endnote w:type="continuationSeparator" w:id="0">
    <w:p w:rsidR="0008714F" w:rsidRDefault="0008714F" w:rsidP="00F6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66A" w:rsidRPr="0042431C" w:rsidRDefault="005C6F93" w:rsidP="007E4AEE">
    <w:pPr>
      <w:pStyle w:val="Piedepgina"/>
      <w:jc w:val="center"/>
      <w:rPr>
        <w:sz w:val="17"/>
        <w:szCs w:val="17"/>
      </w:rPr>
    </w:pPr>
    <w:r w:rsidRPr="0042431C">
      <w:rPr>
        <w:sz w:val="17"/>
        <w:szCs w:val="17"/>
      </w:rPr>
      <w:t xml:space="preserve">Página </w:t>
    </w:r>
    <w:r w:rsidRPr="0042431C">
      <w:rPr>
        <w:sz w:val="17"/>
        <w:szCs w:val="17"/>
      </w:rPr>
      <w:fldChar w:fldCharType="begin"/>
    </w:r>
    <w:r w:rsidRPr="0042431C">
      <w:rPr>
        <w:sz w:val="17"/>
        <w:szCs w:val="17"/>
      </w:rPr>
      <w:instrText xml:space="preserve"> PAGE </w:instrText>
    </w:r>
    <w:r w:rsidRPr="0042431C">
      <w:rPr>
        <w:sz w:val="17"/>
        <w:szCs w:val="17"/>
      </w:rPr>
      <w:fldChar w:fldCharType="separate"/>
    </w:r>
    <w:r w:rsidR="000A1AF2">
      <w:rPr>
        <w:noProof/>
        <w:sz w:val="17"/>
        <w:szCs w:val="17"/>
      </w:rPr>
      <w:t>8</w:t>
    </w:r>
    <w:r w:rsidRPr="0042431C">
      <w:rPr>
        <w:sz w:val="17"/>
        <w:szCs w:val="17"/>
      </w:rPr>
      <w:fldChar w:fldCharType="end"/>
    </w:r>
    <w:r w:rsidRPr="0042431C">
      <w:rPr>
        <w:sz w:val="17"/>
        <w:szCs w:val="17"/>
      </w:rPr>
      <w:t xml:space="preserve"> de </w:t>
    </w:r>
    <w:r w:rsidRPr="0042431C">
      <w:rPr>
        <w:sz w:val="17"/>
        <w:szCs w:val="17"/>
      </w:rPr>
      <w:fldChar w:fldCharType="begin"/>
    </w:r>
    <w:r w:rsidRPr="0042431C">
      <w:rPr>
        <w:sz w:val="17"/>
        <w:szCs w:val="17"/>
      </w:rPr>
      <w:instrText xml:space="preserve"> NUMPAGES </w:instrText>
    </w:r>
    <w:r w:rsidRPr="0042431C">
      <w:rPr>
        <w:sz w:val="17"/>
        <w:szCs w:val="17"/>
      </w:rPr>
      <w:fldChar w:fldCharType="separate"/>
    </w:r>
    <w:r w:rsidR="000A1AF2">
      <w:rPr>
        <w:noProof/>
        <w:sz w:val="17"/>
        <w:szCs w:val="17"/>
      </w:rPr>
      <w:t>8</w:t>
    </w:r>
    <w:r w:rsidRPr="0042431C">
      <w:rPr>
        <w:sz w:val="17"/>
        <w:szCs w:val="17"/>
      </w:rPr>
      <w:fldChar w:fldCharType="end"/>
    </w:r>
  </w:p>
  <w:p w:rsidR="0079266A" w:rsidRPr="00C85DA2" w:rsidRDefault="005C6F93"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79266A" w:rsidRPr="00C85DA2" w:rsidRDefault="005C6F93" w:rsidP="007E4AEE">
    <w:pPr>
      <w:pStyle w:val="Piedepgina"/>
      <w:spacing w:line="276" w:lineRule="auto"/>
      <w:jc w:val="center"/>
      <w:rPr>
        <w:sz w:val="17"/>
        <w:szCs w:val="17"/>
      </w:rPr>
    </w:pPr>
    <w:r w:rsidRPr="00C85DA2">
      <w:rPr>
        <w:sz w:val="17"/>
        <w:szCs w:val="17"/>
      </w:rPr>
      <w:t xml:space="preserve">Guadalajara, </w:t>
    </w:r>
    <w:r w:rsidR="0042431C">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sidR="0042431C">
      <w:rPr>
        <w:sz w:val="17"/>
        <w:szCs w:val="17"/>
      </w:rPr>
      <w:t xml:space="preserve">243, 12420 y 12457 </w:t>
    </w:r>
    <w:r>
      <w:rPr>
        <w:sz w:val="17"/>
        <w:szCs w:val="17"/>
      </w:rPr>
      <w:t xml:space="preserve">Tel. </w:t>
    </w:r>
    <w:proofErr w:type="spellStart"/>
    <w:r>
      <w:rPr>
        <w:sz w:val="17"/>
        <w:szCs w:val="17"/>
      </w:rPr>
      <w:t>dir.</w:t>
    </w:r>
    <w:proofErr w:type="spellEnd"/>
    <w:r w:rsidRPr="00C85DA2">
      <w:rPr>
        <w:sz w:val="17"/>
        <w:szCs w:val="17"/>
      </w:rPr>
      <w:t xml:space="preserve"> </w:t>
    </w:r>
    <w:r w:rsidR="0042431C">
      <w:rPr>
        <w:sz w:val="17"/>
        <w:szCs w:val="17"/>
      </w:rPr>
      <w:t>33</w:t>
    </w:r>
    <w:r w:rsidRPr="00C85DA2">
      <w:rPr>
        <w:sz w:val="17"/>
        <w:szCs w:val="17"/>
      </w:rPr>
      <w:t xml:space="preserve">3134 2243 </w:t>
    </w:r>
  </w:p>
  <w:p w:rsidR="0079266A" w:rsidRPr="00C85DA2" w:rsidRDefault="005C6F93" w:rsidP="007E4AEE">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4F" w:rsidRDefault="0008714F" w:rsidP="00F61024">
      <w:r>
        <w:separator/>
      </w:r>
    </w:p>
  </w:footnote>
  <w:footnote w:type="continuationSeparator" w:id="0">
    <w:p w:rsidR="0008714F" w:rsidRDefault="0008714F" w:rsidP="00F61024">
      <w:r>
        <w:continuationSeparator/>
      </w:r>
    </w:p>
  </w:footnote>
  <w:footnote w:id="1">
    <w:p w:rsidR="00FA2BB8" w:rsidRPr="00AC2287" w:rsidRDefault="00FA2BB8" w:rsidP="00FA2BB8">
      <w:pPr>
        <w:pStyle w:val="Textonotapie"/>
        <w:jc w:val="both"/>
        <w:rPr>
          <w:rFonts w:ascii="AvantGarde Bk BT" w:hAnsi="AvantGarde Bk BT"/>
          <w:sz w:val="16"/>
          <w:szCs w:val="16"/>
        </w:rPr>
      </w:pPr>
      <w:r w:rsidRPr="00AC2287">
        <w:rPr>
          <w:rStyle w:val="Refdenotaalpie"/>
          <w:rFonts w:ascii="AvantGarde Bk BT" w:hAnsi="AvantGarde Bk BT"/>
          <w:sz w:val="16"/>
          <w:szCs w:val="16"/>
        </w:rPr>
        <w:footnoteRef/>
      </w:r>
      <w:r w:rsidRPr="00AC2287">
        <w:rPr>
          <w:rFonts w:ascii="AvantGarde Bk BT" w:hAnsi="AvantGarde Bk BT"/>
          <w:sz w:val="16"/>
          <w:szCs w:val="16"/>
        </w:rPr>
        <w:t xml:space="preserve"> Centro de Investigación Económica y Presupuestaria, A.C. (2020) Moral tributaria en México: Factores que afectan el pago de impuestos. Recuperado el día 19 de septiembre de 2022, desde: </w:t>
      </w:r>
      <w:hyperlink r:id="rId1" w:history="1">
        <w:r w:rsidRPr="00AC2287">
          <w:rPr>
            <w:rStyle w:val="Hipervnculo"/>
            <w:rFonts w:ascii="AvantGarde Bk BT" w:hAnsi="AvantGarde Bk BT"/>
            <w:color w:val="auto"/>
            <w:sz w:val="16"/>
            <w:szCs w:val="16"/>
          </w:rPr>
          <w:t>https://ciep.mx/moral-tributaria-en-mexico-factores-que-afectan-el-pago-de-impuestos/</w:t>
        </w:r>
      </w:hyperlink>
      <w:r w:rsidRPr="00AC2287">
        <w:rPr>
          <w:rFonts w:ascii="AvantGarde Bk BT" w:hAnsi="AvantGarde Bk B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66A" w:rsidRDefault="00F61024" w:rsidP="007B1178">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66A" w:rsidRDefault="0008714F" w:rsidP="007B1178">
    <w:pPr>
      <w:pStyle w:val="Encabezado"/>
      <w:jc w:val="right"/>
      <w:rPr>
        <w:noProof/>
        <w:lang w:val="es-ES" w:eastAsia="es-MX"/>
      </w:rPr>
    </w:pPr>
  </w:p>
  <w:p w:rsidR="0079266A" w:rsidRDefault="0008714F" w:rsidP="007B1178">
    <w:pPr>
      <w:pStyle w:val="Encabezado"/>
      <w:jc w:val="right"/>
      <w:rPr>
        <w:noProof/>
        <w:lang w:val="es-ES" w:eastAsia="es-MX"/>
      </w:rPr>
    </w:pPr>
  </w:p>
  <w:p w:rsidR="0079266A" w:rsidRDefault="0008714F" w:rsidP="007B1178">
    <w:pPr>
      <w:pStyle w:val="Encabezado"/>
      <w:jc w:val="right"/>
      <w:rPr>
        <w:rFonts w:ascii="AvantGarde Bk BT" w:hAnsi="AvantGarde Bk BT"/>
        <w:noProof/>
        <w:lang w:val="es-ES" w:eastAsia="es-MX"/>
      </w:rPr>
    </w:pPr>
  </w:p>
  <w:p w:rsidR="0079266A" w:rsidRPr="00445DC2" w:rsidRDefault="005C6F93"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79266A" w:rsidRPr="00445DC2" w:rsidRDefault="005C6F93"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I/2022/42</w:t>
    </w:r>
    <w:r w:rsidR="00F61024">
      <w:rPr>
        <w:rFonts w:ascii="AvantGarde Bk BT" w:hAnsi="AvantGarde Bk BT"/>
        <w:noProof/>
        <w:sz w:val="20"/>
        <w:szCs w:val="20"/>
        <w:lang w:val="es-ES" w:eastAsia="es-MX"/>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773"/>
    <w:multiLevelType w:val="hybridMultilevel"/>
    <w:tmpl w:val="81620474"/>
    <w:lvl w:ilvl="0" w:tplc="0E38D0C4">
      <w:start w:val="1"/>
      <w:numFmt w:val="decimal"/>
      <w:lvlText w:val="%1."/>
      <w:lvlJc w:val="left"/>
      <w:pPr>
        <w:ind w:left="720" w:hanging="360"/>
      </w:pPr>
      <w:rPr>
        <w:rFonts w:hint="default"/>
        <w:b/>
      </w:rPr>
    </w:lvl>
    <w:lvl w:ilvl="1" w:tplc="3F761D0C">
      <w:start w:val="1"/>
      <w:numFmt w:val="lowerLetter"/>
      <w:lvlText w:val="%2."/>
      <w:lvlJc w:val="left"/>
      <w:pPr>
        <w:ind w:left="1440" w:hanging="360"/>
      </w:pPr>
      <w:rPr>
        <w:b/>
      </w:rPr>
    </w:lvl>
    <w:lvl w:ilvl="2" w:tplc="79669A6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323D8"/>
    <w:multiLevelType w:val="hybridMultilevel"/>
    <w:tmpl w:val="2368B7E8"/>
    <w:lvl w:ilvl="0" w:tplc="B60EAC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96A72"/>
    <w:multiLevelType w:val="hybridMultilevel"/>
    <w:tmpl w:val="C2B64CA4"/>
    <w:lvl w:ilvl="0" w:tplc="7F10084E">
      <w:start w:val="2"/>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717140"/>
    <w:multiLevelType w:val="hybridMultilevel"/>
    <w:tmpl w:val="63AE8A68"/>
    <w:lvl w:ilvl="0" w:tplc="623AB37E">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21673"/>
    <w:multiLevelType w:val="hybridMultilevel"/>
    <w:tmpl w:val="A5006520"/>
    <w:lvl w:ilvl="0" w:tplc="F98E6CDE">
      <w:start w:val="1"/>
      <w:numFmt w:val="lowerLetter"/>
      <w:lvlText w:val="%1."/>
      <w:lvlJc w:val="left"/>
      <w:pPr>
        <w:ind w:left="426" w:hanging="360"/>
      </w:pPr>
      <w:rPr>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5" w15:restartNumberingAfterBreak="0">
    <w:nsid w:val="2572409C"/>
    <w:multiLevelType w:val="hybridMultilevel"/>
    <w:tmpl w:val="F92A586C"/>
    <w:lvl w:ilvl="0" w:tplc="BAFA86E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E867B3B"/>
    <w:multiLevelType w:val="hybridMultilevel"/>
    <w:tmpl w:val="E6AACF18"/>
    <w:lvl w:ilvl="0" w:tplc="7E0C2D64">
      <w:start w:val="2"/>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669AB"/>
    <w:multiLevelType w:val="hybridMultilevel"/>
    <w:tmpl w:val="A314E928"/>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7513ED"/>
    <w:multiLevelType w:val="hybridMultilevel"/>
    <w:tmpl w:val="EB9EC0BE"/>
    <w:lvl w:ilvl="0" w:tplc="CA9EBE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A16B40"/>
    <w:multiLevelType w:val="hybridMultilevel"/>
    <w:tmpl w:val="4F9EEEE4"/>
    <w:lvl w:ilvl="0" w:tplc="1F3826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162CF4"/>
    <w:multiLevelType w:val="hybridMultilevel"/>
    <w:tmpl w:val="C2B64CA4"/>
    <w:lvl w:ilvl="0" w:tplc="7F10084E">
      <w:start w:val="2"/>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5339C"/>
    <w:multiLevelType w:val="hybridMultilevel"/>
    <w:tmpl w:val="5C72E0DE"/>
    <w:lvl w:ilvl="0" w:tplc="42F2A9C4">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245A21"/>
    <w:multiLevelType w:val="hybridMultilevel"/>
    <w:tmpl w:val="FD58E0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67E19A7"/>
    <w:multiLevelType w:val="hybridMultilevel"/>
    <w:tmpl w:val="812A9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F9152B"/>
    <w:multiLevelType w:val="hybridMultilevel"/>
    <w:tmpl w:val="6846B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2454B9"/>
    <w:multiLevelType w:val="hybridMultilevel"/>
    <w:tmpl w:val="53E034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BA1613"/>
    <w:multiLevelType w:val="hybridMultilevel"/>
    <w:tmpl w:val="2FB0D1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1731D76"/>
    <w:multiLevelType w:val="hybridMultilevel"/>
    <w:tmpl w:val="BB80B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16"/>
  </w:num>
  <w:num w:numId="5">
    <w:abstractNumId w:val="4"/>
  </w:num>
  <w:num w:numId="6">
    <w:abstractNumId w:val="1"/>
  </w:num>
  <w:num w:numId="7">
    <w:abstractNumId w:val="9"/>
  </w:num>
  <w:num w:numId="8">
    <w:abstractNumId w:val="17"/>
  </w:num>
  <w:num w:numId="9">
    <w:abstractNumId w:val="13"/>
  </w:num>
  <w:num w:numId="10">
    <w:abstractNumId w:val="14"/>
  </w:num>
  <w:num w:numId="11">
    <w:abstractNumId w:val="5"/>
  </w:num>
  <w:num w:numId="12">
    <w:abstractNumId w:val="3"/>
  </w:num>
  <w:num w:numId="13">
    <w:abstractNumId w:val="7"/>
  </w:num>
  <w:num w:numId="14">
    <w:abstractNumId w:val="0"/>
  </w:num>
  <w:num w:numId="15">
    <w:abstractNumId w:val="2"/>
  </w:num>
  <w:num w:numId="16">
    <w:abstractNumId w:val="12"/>
  </w:num>
  <w:num w:numId="17">
    <w:abstractNumId w:val="15"/>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4"/>
    <w:rsid w:val="00057391"/>
    <w:rsid w:val="0008714F"/>
    <w:rsid w:val="000A1AF2"/>
    <w:rsid w:val="00392A7A"/>
    <w:rsid w:val="003C18B3"/>
    <w:rsid w:val="0042431C"/>
    <w:rsid w:val="004E1694"/>
    <w:rsid w:val="00584D6F"/>
    <w:rsid w:val="005C6F93"/>
    <w:rsid w:val="00670A3D"/>
    <w:rsid w:val="0090428A"/>
    <w:rsid w:val="00A35C4B"/>
    <w:rsid w:val="00AC2287"/>
    <w:rsid w:val="00BA4136"/>
    <w:rsid w:val="00C70FB3"/>
    <w:rsid w:val="00D315C1"/>
    <w:rsid w:val="00E642F1"/>
    <w:rsid w:val="00EC63B4"/>
    <w:rsid w:val="00F61024"/>
    <w:rsid w:val="00F90AA1"/>
    <w:rsid w:val="00FA2BB8"/>
    <w:rsid w:val="00FE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F0D58-258B-4C94-8316-C4E9FE1A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024"/>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uiPriority w:val="99"/>
    <w:qFormat/>
    <w:rsid w:val="00F61024"/>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61024"/>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F61024"/>
    <w:pPr>
      <w:tabs>
        <w:tab w:val="center" w:pos="4419"/>
        <w:tab w:val="right" w:pos="8838"/>
      </w:tabs>
    </w:pPr>
  </w:style>
  <w:style w:type="character" w:customStyle="1" w:styleId="EncabezadoCar">
    <w:name w:val="Encabezado Car"/>
    <w:basedOn w:val="Fuentedeprrafopredeter"/>
    <w:link w:val="Encabezado"/>
    <w:uiPriority w:val="99"/>
    <w:rsid w:val="00F61024"/>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F61024"/>
    <w:pPr>
      <w:tabs>
        <w:tab w:val="center" w:pos="4419"/>
        <w:tab w:val="right" w:pos="8838"/>
      </w:tabs>
    </w:pPr>
  </w:style>
  <w:style w:type="character" w:customStyle="1" w:styleId="PiedepginaCar">
    <w:name w:val="Pie de página Car"/>
    <w:basedOn w:val="Fuentedeprrafopredeter"/>
    <w:link w:val="Piedepgina"/>
    <w:uiPriority w:val="99"/>
    <w:rsid w:val="00F61024"/>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F61024"/>
    <w:pPr>
      <w:spacing w:after="120"/>
    </w:pPr>
    <w:rPr>
      <w:lang w:val="x-none"/>
    </w:rPr>
  </w:style>
  <w:style w:type="character" w:customStyle="1" w:styleId="TextoindependienteCar">
    <w:name w:val="Texto independiente Car"/>
    <w:basedOn w:val="Fuentedeprrafopredeter"/>
    <w:link w:val="Textoindependiente"/>
    <w:uiPriority w:val="99"/>
    <w:rsid w:val="00F61024"/>
    <w:rPr>
      <w:rFonts w:ascii="Times New Roman" w:eastAsia="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unhideWhenUsed/>
    <w:rsid w:val="00F61024"/>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F61024"/>
    <w:rPr>
      <w:rFonts w:ascii="Times New Roman" w:eastAsia="Times New Roman" w:hAnsi="Times New Roman" w:cs="Times New Roman"/>
      <w:sz w:val="24"/>
      <w:szCs w:val="24"/>
      <w:lang w:val="x-none" w:eastAsia="es-ES"/>
    </w:rPr>
  </w:style>
  <w:style w:type="paragraph" w:styleId="Prrafodelista">
    <w:name w:val="List Paragraph"/>
    <w:basedOn w:val="Normal"/>
    <w:link w:val="PrrafodelistaCar"/>
    <w:uiPriority w:val="34"/>
    <w:qFormat/>
    <w:rsid w:val="00F61024"/>
    <w:pPr>
      <w:ind w:left="708"/>
    </w:pPr>
  </w:style>
  <w:style w:type="paragraph" w:styleId="Textonotapie">
    <w:name w:val="footnote text"/>
    <w:basedOn w:val="Normal"/>
    <w:link w:val="TextonotapieCar"/>
    <w:rsid w:val="00F61024"/>
    <w:rPr>
      <w:sz w:val="20"/>
      <w:szCs w:val="20"/>
    </w:rPr>
  </w:style>
  <w:style w:type="character" w:customStyle="1" w:styleId="TextonotapieCar">
    <w:name w:val="Texto nota pie Car"/>
    <w:basedOn w:val="Fuentedeprrafopredeter"/>
    <w:link w:val="Textonotapie"/>
    <w:rsid w:val="00F61024"/>
    <w:rPr>
      <w:rFonts w:ascii="Times New Roman" w:eastAsia="Times New Roman" w:hAnsi="Times New Roman" w:cs="Times New Roman"/>
      <w:sz w:val="20"/>
      <w:szCs w:val="20"/>
      <w:lang w:val="es-MX" w:eastAsia="es-ES"/>
    </w:rPr>
  </w:style>
  <w:style w:type="character" w:styleId="Refdenotaalpie">
    <w:name w:val="footnote reference"/>
    <w:uiPriority w:val="99"/>
    <w:semiHidden/>
    <w:unhideWhenUsed/>
    <w:rsid w:val="00F61024"/>
    <w:rPr>
      <w:vertAlign w:val="superscript"/>
    </w:rPr>
  </w:style>
  <w:style w:type="character" w:styleId="Hipervnculo">
    <w:name w:val="Hyperlink"/>
    <w:uiPriority w:val="99"/>
    <w:unhideWhenUsed/>
    <w:rsid w:val="00F61024"/>
    <w:rPr>
      <w:color w:val="0563C1"/>
      <w:u w:val="single"/>
    </w:rPr>
  </w:style>
  <w:style w:type="character" w:customStyle="1" w:styleId="PrrafodelistaCar">
    <w:name w:val="Párrafo de lista Car"/>
    <w:basedOn w:val="Fuentedeprrafopredeter"/>
    <w:link w:val="Prrafodelista"/>
    <w:uiPriority w:val="34"/>
    <w:rsid w:val="00F61024"/>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84D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D6F"/>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ep.mx/moral-tributaria-en-mexico-factores-que-afectan-el-pago-de-impues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2E3CA-1C3B-428B-921D-9CA322A5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2661</Words>
  <Characters>14636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cp:revision>
  <cp:lastPrinted>2022-09-29T16:55:00Z</cp:lastPrinted>
  <dcterms:created xsi:type="dcterms:W3CDTF">2022-09-23T17:52:00Z</dcterms:created>
  <dcterms:modified xsi:type="dcterms:W3CDTF">2022-09-29T17:02:00Z</dcterms:modified>
</cp:coreProperties>
</file>