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3A7" w:rsidRPr="00413D98" w:rsidRDefault="00CC5D42" w:rsidP="00413D98">
      <w:pPr>
        <w:pBdr>
          <w:top w:val="nil"/>
          <w:left w:val="nil"/>
          <w:bottom w:val="nil"/>
          <w:right w:val="nil"/>
          <w:between w:val="nil"/>
        </w:pBdr>
        <w:spacing w:line="240" w:lineRule="auto"/>
        <w:ind w:left="0" w:hanging="2"/>
        <w:jc w:val="right"/>
        <w:rPr>
          <w:rFonts w:ascii="Arial" w:eastAsia="Arial" w:hAnsi="Arial" w:cs="Arial"/>
          <w:color w:val="000000"/>
          <w:sz w:val="22"/>
          <w:szCs w:val="22"/>
        </w:rPr>
      </w:pPr>
      <w:proofErr w:type="spellStart"/>
      <w:r w:rsidRPr="00413D98">
        <w:rPr>
          <w:rFonts w:ascii="Arial" w:eastAsia="Arial" w:hAnsi="Arial" w:cs="Arial"/>
          <w:color w:val="000000"/>
          <w:sz w:val="22"/>
          <w:szCs w:val="22"/>
        </w:rPr>
        <w:t>Exp</w:t>
      </w:r>
      <w:proofErr w:type="spellEnd"/>
      <w:r w:rsidRPr="00413D98">
        <w:rPr>
          <w:rFonts w:ascii="Arial" w:eastAsia="Arial" w:hAnsi="Arial" w:cs="Arial"/>
          <w:color w:val="000000"/>
          <w:sz w:val="22"/>
          <w:szCs w:val="22"/>
        </w:rPr>
        <w:t>. 0</w:t>
      </w:r>
      <w:r w:rsidRPr="00413D98">
        <w:rPr>
          <w:rFonts w:ascii="Arial" w:eastAsia="Arial" w:hAnsi="Arial" w:cs="Arial"/>
          <w:sz w:val="22"/>
          <w:szCs w:val="22"/>
        </w:rPr>
        <w:t>21</w:t>
      </w:r>
    </w:p>
    <w:p w:rsidR="001333A7" w:rsidRPr="00413D98" w:rsidRDefault="00CC5D42" w:rsidP="00413D98">
      <w:pPr>
        <w:pBdr>
          <w:top w:val="nil"/>
          <w:left w:val="nil"/>
          <w:bottom w:val="nil"/>
          <w:right w:val="nil"/>
          <w:between w:val="nil"/>
        </w:pBdr>
        <w:spacing w:line="240" w:lineRule="auto"/>
        <w:ind w:left="0" w:hanging="2"/>
        <w:jc w:val="right"/>
        <w:rPr>
          <w:rFonts w:ascii="Arial" w:eastAsia="Arial" w:hAnsi="Arial" w:cs="Arial"/>
          <w:color w:val="000000"/>
          <w:sz w:val="22"/>
          <w:szCs w:val="22"/>
        </w:rPr>
      </w:pPr>
      <w:r w:rsidRPr="00413D98">
        <w:rPr>
          <w:rFonts w:ascii="Arial" w:eastAsia="Arial" w:hAnsi="Arial" w:cs="Arial"/>
          <w:color w:val="000000"/>
          <w:sz w:val="22"/>
          <w:szCs w:val="22"/>
        </w:rPr>
        <w:t>Dictamen Núm. II/202</w:t>
      </w:r>
      <w:r w:rsidRPr="00413D98">
        <w:rPr>
          <w:rFonts w:ascii="Arial" w:eastAsia="Arial" w:hAnsi="Arial" w:cs="Arial"/>
          <w:sz w:val="22"/>
          <w:szCs w:val="22"/>
        </w:rPr>
        <w:t>3</w:t>
      </w:r>
      <w:r w:rsidRPr="00413D98">
        <w:rPr>
          <w:rFonts w:ascii="Arial" w:eastAsia="Arial" w:hAnsi="Arial" w:cs="Arial"/>
          <w:color w:val="000000"/>
          <w:sz w:val="22"/>
          <w:szCs w:val="22"/>
        </w:rPr>
        <w:t>/336</w:t>
      </w:r>
    </w:p>
    <w:p w:rsidR="001333A7" w:rsidRPr="00413D98" w:rsidRDefault="001333A7" w:rsidP="00413D98">
      <w:pPr>
        <w:spacing w:line="240" w:lineRule="auto"/>
        <w:ind w:left="0" w:hanging="2"/>
        <w:rPr>
          <w:rFonts w:ascii="Arial" w:eastAsia="Arial" w:hAnsi="Arial" w:cs="Arial"/>
          <w:sz w:val="22"/>
          <w:szCs w:val="22"/>
        </w:rPr>
      </w:pPr>
    </w:p>
    <w:p w:rsidR="00097117" w:rsidRDefault="00097117" w:rsidP="00413D98">
      <w:pPr>
        <w:spacing w:line="240" w:lineRule="auto"/>
        <w:ind w:left="0" w:right="72" w:hanging="2"/>
        <w:jc w:val="both"/>
        <w:rPr>
          <w:rFonts w:ascii="Arial" w:eastAsia="Arial" w:hAnsi="Arial" w:cs="Arial"/>
          <w:b/>
          <w:sz w:val="22"/>
          <w:szCs w:val="22"/>
        </w:rPr>
      </w:pPr>
      <w:bookmarkStart w:id="0" w:name="_heading=h.gjdgxs" w:colFirst="0" w:colLast="0"/>
      <w:bookmarkEnd w:id="0"/>
    </w:p>
    <w:p w:rsidR="001333A7" w:rsidRPr="00413D98" w:rsidRDefault="00CC5D42" w:rsidP="00413D98">
      <w:pPr>
        <w:spacing w:line="240" w:lineRule="auto"/>
        <w:ind w:left="0" w:right="72" w:hanging="2"/>
        <w:jc w:val="both"/>
        <w:rPr>
          <w:rFonts w:ascii="Arial" w:eastAsia="Arial" w:hAnsi="Arial" w:cs="Arial"/>
          <w:sz w:val="22"/>
          <w:szCs w:val="22"/>
        </w:rPr>
      </w:pPr>
      <w:r w:rsidRPr="00413D98">
        <w:rPr>
          <w:rFonts w:ascii="Arial" w:eastAsia="Arial" w:hAnsi="Arial" w:cs="Arial"/>
          <w:b/>
          <w:sz w:val="22"/>
          <w:szCs w:val="22"/>
        </w:rPr>
        <w:t>H. Consejo General Universitario</w:t>
      </w:r>
    </w:p>
    <w:p w:rsidR="001333A7" w:rsidRPr="00413D98" w:rsidRDefault="00CC5D42" w:rsidP="00413D98">
      <w:pPr>
        <w:spacing w:line="240" w:lineRule="auto"/>
        <w:ind w:left="0" w:right="72" w:hanging="2"/>
        <w:jc w:val="both"/>
        <w:rPr>
          <w:rFonts w:ascii="Arial" w:eastAsia="Arial" w:hAnsi="Arial" w:cs="Arial"/>
          <w:sz w:val="22"/>
          <w:szCs w:val="22"/>
        </w:rPr>
      </w:pPr>
      <w:r w:rsidRPr="00413D98">
        <w:rPr>
          <w:rFonts w:ascii="Arial" w:eastAsia="Arial" w:hAnsi="Arial" w:cs="Arial"/>
          <w:sz w:val="22"/>
          <w:szCs w:val="22"/>
        </w:rPr>
        <w:t>Presente</w:t>
      </w:r>
    </w:p>
    <w:p w:rsidR="001333A7" w:rsidRPr="00413D98" w:rsidRDefault="001333A7" w:rsidP="00413D98">
      <w:pPr>
        <w:spacing w:line="240" w:lineRule="auto"/>
        <w:ind w:left="0" w:right="72" w:hanging="2"/>
        <w:jc w:val="both"/>
        <w:rPr>
          <w:rFonts w:ascii="Arial" w:eastAsia="Arial" w:hAnsi="Arial" w:cs="Arial"/>
          <w:sz w:val="22"/>
          <w:szCs w:val="22"/>
        </w:rPr>
      </w:pPr>
    </w:p>
    <w:p w:rsidR="001333A7" w:rsidRPr="00413D98" w:rsidRDefault="00CC5D42" w:rsidP="00413D98">
      <w:pPr>
        <w:spacing w:line="240" w:lineRule="auto"/>
        <w:ind w:left="0" w:hanging="2"/>
        <w:jc w:val="both"/>
        <w:rPr>
          <w:rFonts w:ascii="Arial" w:eastAsia="Arial" w:hAnsi="Arial" w:cs="Arial"/>
          <w:sz w:val="22"/>
          <w:szCs w:val="22"/>
        </w:rPr>
      </w:pPr>
      <w:r w:rsidRPr="00413D98">
        <w:rPr>
          <w:rFonts w:ascii="Arial" w:eastAsia="Arial" w:hAnsi="Arial" w:cs="Arial"/>
          <w:sz w:val="22"/>
          <w:szCs w:val="22"/>
        </w:rPr>
        <w:t xml:space="preserve">A esta Comisión Permanente de Hacienda, ha sido turnada por el Rector General de esta Casa de Estudios una propuesta en la cual se plantea autorizar la </w:t>
      </w:r>
      <w:r w:rsidRPr="00413D98">
        <w:rPr>
          <w:rFonts w:ascii="Arial" w:eastAsia="Arial" w:hAnsi="Arial" w:cs="Arial"/>
          <w:b/>
          <w:sz w:val="22"/>
          <w:szCs w:val="22"/>
        </w:rPr>
        <w:t>desincorporación y donación</w:t>
      </w:r>
      <w:r w:rsidRPr="00413D98">
        <w:rPr>
          <w:rFonts w:ascii="Arial" w:eastAsia="Arial" w:hAnsi="Arial" w:cs="Arial"/>
          <w:sz w:val="22"/>
          <w:szCs w:val="22"/>
        </w:rPr>
        <w:t xml:space="preserve"> </w:t>
      </w:r>
      <w:r w:rsidRPr="00413D98">
        <w:rPr>
          <w:rFonts w:ascii="Arial" w:eastAsia="Arial" w:hAnsi="Arial" w:cs="Arial"/>
          <w:b/>
          <w:sz w:val="22"/>
          <w:szCs w:val="22"/>
        </w:rPr>
        <w:t xml:space="preserve">de una porción de terreno de 17,130.66 m² </w:t>
      </w:r>
      <w:r w:rsidRPr="00413D98">
        <w:rPr>
          <w:rFonts w:ascii="Arial" w:eastAsia="Arial" w:hAnsi="Arial" w:cs="Arial"/>
          <w:sz w:val="22"/>
          <w:szCs w:val="22"/>
        </w:rPr>
        <w:t>(diecisiete mil ciento treinta metros cuadrados con sesenta y seis centímetros), la cual se integra con</w:t>
      </w:r>
      <w:r w:rsidR="00413D98" w:rsidRPr="00413D98">
        <w:rPr>
          <w:rFonts w:ascii="Arial" w:eastAsia="Arial" w:hAnsi="Arial" w:cs="Arial"/>
          <w:b/>
          <w:sz w:val="22"/>
          <w:szCs w:val="22"/>
        </w:rPr>
        <w:t>:</w:t>
      </w:r>
      <w:r w:rsidRPr="00413D98">
        <w:rPr>
          <w:rFonts w:ascii="Arial" w:eastAsia="Arial" w:hAnsi="Arial" w:cs="Arial"/>
          <w:b/>
          <w:sz w:val="22"/>
          <w:szCs w:val="22"/>
        </w:rPr>
        <w:t xml:space="preserve"> a) </w:t>
      </w:r>
      <w:r w:rsidR="00326A99" w:rsidRPr="00413D98">
        <w:rPr>
          <w:rFonts w:ascii="Arial" w:eastAsia="Arial" w:hAnsi="Arial" w:cs="Arial"/>
          <w:b/>
          <w:sz w:val="22"/>
          <w:szCs w:val="22"/>
        </w:rPr>
        <w:t>3,340.45m</w:t>
      </w:r>
      <w:r w:rsidR="00326A99" w:rsidRPr="00413D98">
        <w:rPr>
          <w:rFonts w:ascii="Arial" w:eastAsia="Arial" w:hAnsi="Arial" w:cs="Arial"/>
          <w:b/>
          <w:sz w:val="22"/>
          <w:szCs w:val="22"/>
          <w:vertAlign w:val="superscript"/>
        </w:rPr>
        <w:t>2</w:t>
      </w:r>
      <w:r w:rsidR="00326A99" w:rsidRPr="00413D98">
        <w:rPr>
          <w:rFonts w:ascii="Arial" w:eastAsia="Arial" w:hAnsi="Arial" w:cs="Arial"/>
          <w:b/>
          <w:sz w:val="22"/>
          <w:szCs w:val="22"/>
        </w:rPr>
        <w:t xml:space="preserve">, </w:t>
      </w:r>
      <w:r w:rsidR="00413D98" w:rsidRPr="00413D98">
        <w:rPr>
          <w:rFonts w:ascii="Arial" w:eastAsia="Arial" w:hAnsi="Arial" w:cs="Arial"/>
          <w:sz w:val="22"/>
          <w:szCs w:val="22"/>
        </w:rPr>
        <w:t xml:space="preserve">superficie afectada </w:t>
      </w:r>
      <w:r w:rsidRPr="00413D98">
        <w:rPr>
          <w:rFonts w:ascii="Arial" w:eastAsia="Arial" w:hAnsi="Arial" w:cs="Arial"/>
          <w:sz w:val="22"/>
          <w:szCs w:val="22"/>
        </w:rPr>
        <w:t>del polígono de la escritura pública número 2178, y</w:t>
      </w:r>
      <w:r w:rsidRPr="00413D98">
        <w:rPr>
          <w:rFonts w:ascii="Arial" w:eastAsia="Arial" w:hAnsi="Arial" w:cs="Arial"/>
          <w:b/>
          <w:sz w:val="22"/>
          <w:szCs w:val="22"/>
        </w:rPr>
        <w:t xml:space="preserve"> b) 13,790.21m</w:t>
      </w:r>
      <w:r w:rsidRPr="00413D98">
        <w:rPr>
          <w:rFonts w:ascii="Arial" w:eastAsia="Arial" w:hAnsi="Arial" w:cs="Arial"/>
          <w:b/>
          <w:sz w:val="22"/>
          <w:szCs w:val="22"/>
          <w:vertAlign w:val="superscript"/>
        </w:rPr>
        <w:t xml:space="preserve">2 </w:t>
      </w:r>
      <w:r w:rsidRPr="00413D98">
        <w:rPr>
          <w:rFonts w:ascii="Arial" w:eastAsia="Arial" w:hAnsi="Arial" w:cs="Arial"/>
          <w:b/>
          <w:sz w:val="22"/>
          <w:szCs w:val="22"/>
        </w:rPr>
        <w:t xml:space="preserve"> </w:t>
      </w:r>
      <w:r w:rsidR="00413D98" w:rsidRPr="00413D98">
        <w:rPr>
          <w:rFonts w:ascii="Arial" w:eastAsia="Arial" w:hAnsi="Arial" w:cs="Arial"/>
          <w:sz w:val="22"/>
          <w:szCs w:val="22"/>
        </w:rPr>
        <w:t>superficie afectada d</w:t>
      </w:r>
      <w:r w:rsidRPr="00413D98">
        <w:rPr>
          <w:rFonts w:ascii="Arial" w:eastAsia="Arial" w:hAnsi="Arial" w:cs="Arial"/>
          <w:sz w:val="22"/>
          <w:szCs w:val="22"/>
        </w:rPr>
        <w:t xml:space="preserve">el polígono 1 de la escritura pública número 10,655, </w:t>
      </w:r>
      <w:r w:rsidRPr="00413D98">
        <w:rPr>
          <w:rFonts w:ascii="Arial" w:eastAsia="Arial" w:hAnsi="Arial" w:cs="Arial"/>
          <w:b/>
          <w:sz w:val="22"/>
          <w:szCs w:val="22"/>
        </w:rPr>
        <w:t>propiedad de la Universidad de Guadalajara, al</w:t>
      </w:r>
      <w:r w:rsidRPr="00413D98">
        <w:rPr>
          <w:rFonts w:ascii="Arial" w:eastAsia="Arial" w:hAnsi="Arial" w:cs="Arial"/>
          <w:sz w:val="22"/>
          <w:szCs w:val="22"/>
        </w:rPr>
        <w:t xml:space="preserve"> </w:t>
      </w:r>
      <w:r w:rsidRPr="00413D98">
        <w:rPr>
          <w:rFonts w:ascii="Arial" w:eastAsia="Arial" w:hAnsi="Arial" w:cs="Arial"/>
          <w:b/>
          <w:sz w:val="22"/>
          <w:szCs w:val="22"/>
        </w:rPr>
        <w:t>H</w:t>
      </w:r>
      <w:r w:rsidRPr="00413D98">
        <w:rPr>
          <w:rFonts w:ascii="Arial" w:eastAsia="Arial" w:hAnsi="Arial" w:cs="Arial"/>
          <w:sz w:val="22"/>
          <w:szCs w:val="22"/>
        </w:rPr>
        <w:t xml:space="preserve">. </w:t>
      </w:r>
      <w:r w:rsidRPr="00413D98">
        <w:rPr>
          <w:rFonts w:ascii="Arial" w:eastAsia="Arial" w:hAnsi="Arial" w:cs="Arial"/>
          <w:b/>
          <w:sz w:val="22"/>
          <w:szCs w:val="22"/>
        </w:rPr>
        <w:t>Ayuntamiento de Zapopan</w:t>
      </w:r>
      <w:r w:rsidRPr="00413D98">
        <w:rPr>
          <w:rFonts w:ascii="Arial" w:eastAsia="Arial" w:hAnsi="Arial" w:cs="Arial"/>
          <w:sz w:val="22"/>
          <w:szCs w:val="22"/>
        </w:rPr>
        <w:t>, la cual será destinada para la construcción de la vialidad denominada “</w:t>
      </w:r>
      <w:r w:rsidRPr="00413D98">
        <w:rPr>
          <w:rFonts w:ascii="Arial" w:eastAsia="Arial" w:hAnsi="Arial" w:cs="Arial"/>
          <w:b/>
          <w:sz w:val="22"/>
          <w:szCs w:val="22"/>
        </w:rPr>
        <w:t>Peri CUCBA</w:t>
      </w:r>
      <w:r w:rsidRPr="00413D98">
        <w:rPr>
          <w:rFonts w:ascii="Arial" w:eastAsia="Arial" w:hAnsi="Arial" w:cs="Arial"/>
          <w:sz w:val="22"/>
          <w:szCs w:val="22"/>
        </w:rPr>
        <w:t xml:space="preserve">”, conforme a la siguiente: </w:t>
      </w:r>
    </w:p>
    <w:p w:rsidR="001333A7" w:rsidRPr="00413D98" w:rsidRDefault="00CC5D42" w:rsidP="00413D98">
      <w:pPr>
        <w:pBdr>
          <w:top w:val="nil"/>
          <w:left w:val="nil"/>
          <w:bottom w:val="nil"/>
          <w:right w:val="nil"/>
          <w:between w:val="nil"/>
        </w:pBdr>
        <w:spacing w:line="240" w:lineRule="auto"/>
        <w:ind w:left="0" w:hanging="2"/>
        <w:jc w:val="both"/>
        <w:rPr>
          <w:rFonts w:ascii="Arial" w:eastAsia="Arial" w:hAnsi="Arial" w:cs="Arial"/>
          <w:sz w:val="22"/>
          <w:szCs w:val="22"/>
        </w:rPr>
      </w:pPr>
      <w:r w:rsidRPr="00413D98">
        <w:rPr>
          <w:rFonts w:ascii="Arial" w:eastAsia="Arial" w:hAnsi="Arial" w:cs="Arial"/>
          <w:sz w:val="22"/>
          <w:szCs w:val="22"/>
        </w:rPr>
        <w:t xml:space="preserve"> </w:t>
      </w:r>
    </w:p>
    <w:p w:rsidR="00097117" w:rsidRDefault="00097117" w:rsidP="00413D98">
      <w:pPr>
        <w:spacing w:line="240" w:lineRule="auto"/>
        <w:ind w:left="0" w:hanging="2"/>
        <w:jc w:val="center"/>
        <w:rPr>
          <w:rFonts w:ascii="Arial" w:eastAsia="Arial" w:hAnsi="Arial" w:cs="Arial"/>
          <w:b/>
          <w:sz w:val="22"/>
          <w:szCs w:val="22"/>
        </w:rPr>
      </w:pPr>
    </w:p>
    <w:p w:rsidR="001333A7" w:rsidRPr="00413D98" w:rsidRDefault="005C1094" w:rsidP="00413D98">
      <w:pPr>
        <w:spacing w:line="240" w:lineRule="auto"/>
        <w:ind w:left="0" w:hanging="2"/>
        <w:jc w:val="center"/>
        <w:rPr>
          <w:rFonts w:ascii="Arial" w:eastAsia="Arial" w:hAnsi="Arial" w:cs="Arial"/>
          <w:sz w:val="22"/>
          <w:szCs w:val="22"/>
        </w:rPr>
      </w:pPr>
      <w:r>
        <w:rPr>
          <w:rFonts w:ascii="Arial" w:eastAsia="Arial" w:hAnsi="Arial" w:cs="Arial"/>
          <w:b/>
          <w:sz w:val="22"/>
          <w:szCs w:val="22"/>
        </w:rPr>
        <w:t>ANTECEDENTES</w:t>
      </w:r>
      <w:bookmarkStart w:id="1" w:name="_GoBack"/>
      <w:bookmarkEnd w:id="1"/>
    </w:p>
    <w:p w:rsidR="001333A7" w:rsidRPr="00413D98" w:rsidRDefault="001333A7" w:rsidP="00413D98">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1333A7" w:rsidRPr="00413D98" w:rsidRDefault="00CC5D42" w:rsidP="00413D98">
      <w:pPr>
        <w:numPr>
          <w:ilvl w:val="0"/>
          <w:numId w:val="2"/>
        </w:numPr>
        <w:pBdr>
          <w:top w:val="nil"/>
          <w:left w:val="nil"/>
          <w:bottom w:val="nil"/>
          <w:right w:val="nil"/>
          <w:between w:val="nil"/>
        </w:pBdr>
        <w:spacing w:line="240" w:lineRule="auto"/>
        <w:ind w:left="425" w:hangingChars="194" w:hanging="427"/>
        <w:jc w:val="both"/>
        <w:rPr>
          <w:rFonts w:ascii="Arial" w:hAnsi="Arial" w:cs="Arial"/>
          <w:sz w:val="22"/>
          <w:szCs w:val="22"/>
        </w:rPr>
      </w:pPr>
      <w:r w:rsidRPr="00413D98">
        <w:rPr>
          <w:rFonts w:ascii="Arial" w:eastAsia="Arial" w:hAnsi="Arial" w:cs="Arial"/>
          <w:color w:val="000000"/>
          <w:sz w:val="22"/>
          <w:szCs w:val="22"/>
        </w:rPr>
        <w:t xml:space="preserve">Que mediante Dictamen No. 45945, de fecha 07 de octubre de 1994, el Consejo General Universitario aprobó la creación del Centro Universitario de Ciencias Biológicas y Agropecuarias. </w:t>
      </w:r>
    </w:p>
    <w:p w:rsidR="001333A7" w:rsidRPr="00413D98" w:rsidRDefault="001333A7" w:rsidP="00413D98">
      <w:pPr>
        <w:pBdr>
          <w:top w:val="nil"/>
          <w:left w:val="nil"/>
          <w:bottom w:val="nil"/>
          <w:right w:val="nil"/>
          <w:between w:val="nil"/>
        </w:pBdr>
        <w:spacing w:line="240" w:lineRule="auto"/>
        <w:ind w:left="425" w:hangingChars="194" w:hanging="427"/>
        <w:jc w:val="both"/>
        <w:rPr>
          <w:rFonts w:ascii="Arial" w:eastAsia="Arial" w:hAnsi="Arial" w:cs="Arial"/>
          <w:sz w:val="22"/>
          <w:szCs w:val="22"/>
        </w:rPr>
      </w:pPr>
    </w:p>
    <w:p w:rsidR="001333A7" w:rsidRPr="00413D98" w:rsidRDefault="00CC5D42" w:rsidP="00413D98">
      <w:pPr>
        <w:numPr>
          <w:ilvl w:val="0"/>
          <w:numId w:val="2"/>
        </w:numPr>
        <w:pBdr>
          <w:top w:val="nil"/>
          <w:left w:val="nil"/>
          <w:bottom w:val="nil"/>
          <w:right w:val="nil"/>
          <w:between w:val="nil"/>
        </w:pBdr>
        <w:spacing w:line="240" w:lineRule="auto"/>
        <w:ind w:left="425" w:hangingChars="194" w:hanging="427"/>
        <w:jc w:val="both"/>
        <w:rPr>
          <w:rFonts w:ascii="Arial" w:hAnsi="Arial" w:cs="Arial"/>
          <w:sz w:val="22"/>
          <w:szCs w:val="22"/>
        </w:rPr>
      </w:pPr>
      <w:r w:rsidRPr="00413D98">
        <w:rPr>
          <w:rFonts w:ascii="Arial" w:eastAsia="Arial" w:hAnsi="Arial" w:cs="Arial"/>
          <w:sz w:val="22"/>
          <w:szCs w:val="22"/>
        </w:rPr>
        <w:t xml:space="preserve">Que mediante escritura pública número 2178, pasada ante la fe del Notario Público número 20 de Guadalajara, Jalisco, licenciado Adalberto Ortega Solís, de fecha 14 de noviembre de 1974,  las señoritas Margarita María Orozco Ramírez y Gregoria Carolina Orozco Ramírez, vendieron al Gobierno del Estado de Jalisco, quien compró para la Universidad de Guadalajara, el predio rústico denominado “El Rincón” situado a inmediaciones del pueblo de </w:t>
      </w:r>
      <w:proofErr w:type="spellStart"/>
      <w:r w:rsidRPr="00413D98">
        <w:rPr>
          <w:rFonts w:ascii="Arial" w:eastAsia="Arial" w:hAnsi="Arial" w:cs="Arial"/>
          <w:sz w:val="22"/>
          <w:szCs w:val="22"/>
        </w:rPr>
        <w:t>Nextipac</w:t>
      </w:r>
      <w:proofErr w:type="spellEnd"/>
      <w:r w:rsidRPr="00413D98">
        <w:rPr>
          <w:rFonts w:ascii="Arial" w:eastAsia="Arial" w:hAnsi="Arial" w:cs="Arial"/>
          <w:sz w:val="22"/>
          <w:szCs w:val="22"/>
        </w:rPr>
        <w:t xml:space="preserve">, de la municipalidad de Zapopan, Jalisco, con extensión superficial aproximada de 14-00-00 (catorce hectáreas) de terreno de temporal, con el objetivo de que fuera destinado para la construcción de la nueva Escuela de Agricultura. </w:t>
      </w:r>
    </w:p>
    <w:p w:rsidR="001333A7" w:rsidRPr="00413D98" w:rsidRDefault="00CC5D42" w:rsidP="00413D98">
      <w:pPr>
        <w:pBdr>
          <w:top w:val="nil"/>
          <w:left w:val="nil"/>
          <w:bottom w:val="nil"/>
          <w:right w:val="nil"/>
          <w:between w:val="nil"/>
        </w:pBdr>
        <w:spacing w:line="240" w:lineRule="auto"/>
        <w:ind w:left="425" w:hangingChars="194" w:hanging="427"/>
        <w:jc w:val="both"/>
        <w:rPr>
          <w:rFonts w:ascii="Arial" w:eastAsia="Arial" w:hAnsi="Arial" w:cs="Arial"/>
          <w:color w:val="000000"/>
          <w:sz w:val="22"/>
          <w:szCs w:val="22"/>
        </w:rPr>
      </w:pPr>
      <w:r w:rsidRPr="00413D98">
        <w:rPr>
          <w:rFonts w:ascii="Arial" w:eastAsia="Arial" w:hAnsi="Arial" w:cs="Arial"/>
          <w:color w:val="000000"/>
          <w:sz w:val="22"/>
          <w:szCs w:val="22"/>
        </w:rPr>
        <w:t xml:space="preserve"> </w:t>
      </w:r>
    </w:p>
    <w:p w:rsidR="001333A7" w:rsidRPr="00413D98" w:rsidRDefault="00CC5D42" w:rsidP="00413D98">
      <w:pPr>
        <w:numPr>
          <w:ilvl w:val="0"/>
          <w:numId w:val="2"/>
        </w:numPr>
        <w:pBdr>
          <w:top w:val="nil"/>
          <w:left w:val="nil"/>
          <w:bottom w:val="nil"/>
          <w:right w:val="nil"/>
          <w:between w:val="nil"/>
        </w:pBdr>
        <w:spacing w:line="240" w:lineRule="auto"/>
        <w:ind w:left="425" w:hangingChars="194" w:hanging="427"/>
        <w:jc w:val="both"/>
        <w:rPr>
          <w:rFonts w:ascii="Arial" w:hAnsi="Arial" w:cs="Arial"/>
          <w:sz w:val="22"/>
          <w:szCs w:val="22"/>
        </w:rPr>
      </w:pPr>
      <w:r w:rsidRPr="00413D98">
        <w:rPr>
          <w:rFonts w:ascii="Arial" w:eastAsia="Arial" w:hAnsi="Arial" w:cs="Arial"/>
          <w:sz w:val="22"/>
          <w:szCs w:val="22"/>
        </w:rPr>
        <w:t>Que por Resolución Presidencial, publicada en el Diario Oficial de la Federación de fecha 28 de agosto del 2000, fue expropiada una superficie de 36-04-66 (Treinta y seis hectáreas, cuatro áreas, sesenta y seis centiáreas), de terrenos de temporal de uso común de terrenos ejidales pertenecientes al Ejido denominado “</w:t>
      </w:r>
      <w:proofErr w:type="spellStart"/>
      <w:r w:rsidRPr="00413D98">
        <w:rPr>
          <w:rFonts w:ascii="Arial" w:eastAsia="Arial" w:hAnsi="Arial" w:cs="Arial"/>
          <w:sz w:val="22"/>
          <w:szCs w:val="22"/>
        </w:rPr>
        <w:t>Nextipac</w:t>
      </w:r>
      <w:proofErr w:type="spellEnd"/>
      <w:r w:rsidRPr="00413D98">
        <w:rPr>
          <w:rFonts w:ascii="Arial" w:eastAsia="Arial" w:hAnsi="Arial" w:cs="Arial"/>
          <w:sz w:val="22"/>
          <w:szCs w:val="22"/>
        </w:rPr>
        <w:t xml:space="preserve">”, del municipio de Zapopan, Jalisco, a favor del Gobierno del Estado de Jalisco, para destinarse a la construcción del Campus Universitario de Ciencias Biológicas y Agropecuarias, por lo que se autorizó al Gobierno del Estado para que transmita la propiedad de los terrenos expropiados a favor de la Universidad de Guadalajara. </w:t>
      </w:r>
    </w:p>
    <w:p w:rsidR="00097117" w:rsidRDefault="00097117">
      <w:pPr>
        <w:suppressAutoHyphens w:val="0"/>
        <w:spacing w:line="240" w:lineRule="auto"/>
        <w:ind w:leftChars="0" w:left="0" w:firstLineChars="0"/>
        <w:textDirection w:val="lrTb"/>
        <w:textAlignment w:val="auto"/>
        <w:outlineLvl w:val="9"/>
        <w:rPr>
          <w:rFonts w:ascii="Arial" w:eastAsia="Arial" w:hAnsi="Arial" w:cs="Arial"/>
          <w:color w:val="000000"/>
          <w:sz w:val="22"/>
          <w:szCs w:val="22"/>
        </w:rPr>
      </w:pPr>
      <w:r>
        <w:rPr>
          <w:rFonts w:ascii="Arial" w:eastAsia="Arial" w:hAnsi="Arial" w:cs="Arial"/>
          <w:color w:val="000000"/>
          <w:sz w:val="22"/>
          <w:szCs w:val="22"/>
        </w:rPr>
        <w:br w:type="page"/>
      </w:r>
    </w:p>
    <w:p w:rsidR="001333A7" w:rsidRPr="00413D98" w:rsidRDefault="00CC5D42" w:rsidP="00413D98">
      <w:pPr>
        <w:numPr>
          <w:ilvl w:val="0"/>
          <w:numId w:val="2"/>
        </w:numPr>
        <w:pBdr>
          <w:top w:val="nil"/>
          <w:left w:val="nil"/>
          <w:bottom w:val="nil"/>
          <w:right w:val="nil"/>
          <w:between w:val="nil"/>
        </w:pBdr>
        <w:spacing w:line="240" w:lineRule="auto"/>
        <w:ind w:left="425" w:hangingChars="194" w:hanging="427"/>
        <w:jc w:val="both"/>
        <w:rPr>
          <w:rFonts w:ascii="Arial" w:hAnsi="Arial" w:cs="Arial"/>
          <w:sz w:val="22"/>
          <w:szCs w:val="22"/>
        </w:rPr>
      </w:pPr>
      <w:r w:rsidRPr="00413D98">
        <w:rPr>
          <w:rFonts w:ascii="Arial" w:eastAsia="Arial" w:hAnsi="Arial" w:cs="Arial"/>
          <w:sz w:val="22"/>
          <w:szCs w:val="22"/>
        </w:rPr>
        <w:lastRenderedPageBreak/>
        <w:t xml:space="preserve">Que mediante escritura pública número 10655, pasada ante la fe del Notario Público número 116 de Guadalajara, Jalisco, licenciado Juan José Serratos Cervantes, de fecha 21 de julio de 2016, fue protocolizada la ejecución para efectos de incorporación registral del Decreto de Expropiación, de fecha 28 de agosto del año 2000, la cual quedó registrada con boleta registral folio 2952432 asentada el 19 de agosto de 2016 en la Dirección del Registro Público de la Propiedad y de Comercio, en la Ciudad de Guadalajara, Jalisco. </w:t>
      </w:r>
    </w:p>
    <w:p w:rsidR="001333A7" w:rsidRPr="00413D98" w:rsidRDefault="001333A7" w:rsidP="00413D98">
      <w:pPr>
        <w:pBdr>
          <w:top w:val="nil"/>
          <w:left w:val="nil"/>
          <w:bottom w:val="nil"/>
          <w:right w:val="nil"/>
          <w:between w:val="nil"/>
        </w:pBdr>
        <w:spacing w:line="240" w:lineRule="auto"/>
        <w:ind w:left="425" w:hangingChars="194" w:hanging="427"/>
        <w:jc w:val="both"/>
        <w:rPr>
          <w:rFonts w:ascii="Arial" w:eastAsia="Arial" w:hAnsi="Arial" w:cs="Arial"/>
          <w:sz w:val="22"/>
          <w:szCs w:val="22"/>
        </w:rPr>
      </w:pPr>
    </w:p>
    <w:p w:rsidR="001333A7" w:rsidRPr="00413D98" w:rsidRDefault="00CC5D42" w:rsidP="00413D98">
      <w:pPr>
        <w:numPr>
          <w:ilvl w:val="0"/>
          <w:numId w:val="2"/>
        </w:numPr>
        <w:spacing w:line="240" w:lineRule="auto"/>
        <w:ind w:left="425" w:hangingChars="194" w:hanging="427"/>
        <w:jc w:val="both"/>
        <w:rPr>
          <w:rFonts w:ascii="Arial" w:hAnsi="Arial" w:cs="Arial"/>
          <w:sz w:val="22"/>
          <w:szCs w:val="22"/>
        </w:rPr>
      </w:pPr>
      <w:r w:rsidRPr="00413D98">
        <w:rPr>
          <w:rFonts w:ascii="Arial" w:eastAsia="Arial" w:hAnsi="Arial" w:cs="Arial"/>
          <w:sz w:val="22"/>
          <w:szCs w:val="22"/>
        </w:rPr>
        <w:t xml:space="preserve">Que en la escritura pública número 10655 se desprende que con fecha 14 de marzo de 2002, el Gobernador del Estado de Jalisco emitió un Acuerdo, en el que se estipuló que: </w:t>
      </w:r>
      <w:r w:rsidRPr="00413D98">
        <w:rPr>
          <w:rFonts w:ascii="Arial" w:eastAsia="Arial" w:hAnsi="Arial" w:cs="Arial"/>
          <w:i/>
          <w:sz w:val="22"/>
          <w:szCs w:val="22"/>
        </w:rPr>
        <w:t>“La Universidad de Guadalajara dará cumplimiento a los ordenamientos en materia de desarrollo urbano y a la normatividad en materia de construcción del H. Ayuntamiento de Zapopan, Jalisco”</w:t>
      </w:r>
      <w:r w:rsidRPr="00413D98">
        <w:rPr>
          <w:rFonts w:ascii="Arial" w:eastAsia="Arial" w:hAnsi="Arial" w:cs="Arial"/>
          <w:sz w:val="22"/>
          <w:szCs w:val="22"/>
        </w:rPr>
        <w:t xml:space="preserve">. </w:t>
      </w:r>
    </w:p>
    <w:p w:rsidR="001333A7" w:rsidRPr="00413D98" w:rsidRDefault="001333A7" w:rsidP="00413D98">
      <w:pPr>
        <w:pBdr>
          <w:top w:val="nil"/>
          <w:left w:val="nil"/>
          <w:bottom w:val="nil"/>
          <w:right w:val="nil"/>
          <w:between w:val="nil"/>
        </w:pBdr>
        <w:spacing w:line="240" w:lineRule="auto"/>
        <w:ind w:left="425" w:hangingChars="194" w:hanging="427"/>
        <w:jc w:val="both"/>
        <w:rPr>
          <w:rFonts w:ascii="Arial" w:eastAsia="Arial" w:hAnsi="Arial" w:cs="Arial"/>
          <w:color w:val="0000FF"/>
          <w:sz w:val="22"/>
          <w:szCs w:val="22"/>
        </w:rPr>
      </w:pPr>
    </w:p>
    <w:p w:rsidR="001333A7" w:rsidRPr="00413D98" w:rsidRDefault="00CC5D42" w:rsidP="00413D98">
      <w:pPr>
        <w:numPr>
          <w:ilvl w:val="0"/>
          <w:numId w:val="2"/>
        </w:numPr>
        <w:pBdr>
          <w:top w:val="nil"/>
          <w:left w:val="nil"/>
          <w:bottom w:val="nil"/>
          <w:right w:val="nil"/>
          <w:between w:val="nil"/>
        </w:pBdr>
        <w:spacing w:line="240" w:lineRule="auto"/>
        <w:ind w:left="425" w:hangingChars="194" w:hanging="427"/>
        <w:jc w:val="both"/>
        <w:rPr>
          <w:rFonts w:ascii="Arial" w:hAnsi="Arial" w:cs="Arial"/>
          <w:sz w:val="22"/>
          <w:szCs w:val="22"/>
        </w:rPr>
      </w:pPr>
      <w:r w:rsidRPr="00413D98">
        <w:rPr>
          <w:rFonts w:ascii="Arial" w:eastAsia="Arial" w:hAnsi="Arial" w:cs="Arial"/>
          <w:sz w:val="22"/>
          <w:szCs w:val="22"/>
        </w:rPr>
        <w:t>Con el objetivo de convertir al CUCBA en un espacio que privilegie la seguridad de su comunidad, se hace necesario impulsar un proyecto de reordenamiento de las vialidades que conectan al Centro Universitario con todas las comunidades aledañas.</w:t>
      </w:r>
    </w:p>
    <w:p w:rsidR="001333A7" w:rsidRPr="00413D98" w:rsidRDefault="001333A7" w:rsidP="00413D98">
      <w:pPr>
        <w:pBdr>
          <w:top w:val="nil"/>
          <w:left w:val="nil"/>
          <w:bottom w:val="nil"/>
          <w:right w:val="nil"/>
          <w:between w:val="nil"/>
        </w:pBdr>
        <w:spacing w:line="240" w:lineRule="auto"/>
        <w:ind w:left="425" w:hangingChars="194" w:hanging="427"/>
        <w:jc w:val="both"/>
        <w:rPr>
          <w:rFonts w:ascii="Arial" w:eastAsia="Arial" w:hAnsi="Arial" w:cs="Arial"/>
          <w:sz w:val="22"/>
          <w:szCs w:val="22"/>
        </w:rPr>
      </w:pPr>
    </w:p>
    <w:p w:rsidR="001333A7" w:rsidRPr="00413D98" w:rsidRDefault="00CC5D42" w:rsidP="00413D98">
      <w:pPr>
        <w:numPr>
          <w:ilvl w:val="0"/>
          <w:numId w:val="2"/>
        </w:numPr>
        <w:spacing w:line="240" w:lineRule="auto"/>
        <w:ind w:left="425" w:hangingChars="194" w:hanging="427"/>
        <w:jc w:val="both"/>
        <w:rPr>
          <w:rFonts w:ascii="Arial" w:hAnsi="Arial" w:cs="Arial"/>
          <w:sz w:val="22"/>
          <w:szCs w:val="22"/>
        </w:rPr>
      </w:pPr>
      <w:r w:rsidRPr="00413D98">
        <w:rPr>
          <w:rFonts w:ascii="Arial" w:eastAsia="Arial" w:hAnsi="Arial" w:cs="Arial"/>
          <w:sz w:val="22"/>
          <w:szCs w:val="22"/>
        </w:rPr>
        <w:t>Que tomando en consideración que la vialidad principal divide las instalaciones del CUCBA, misma que es transitada por unidades del transporte público, camiones de carga pesada, automovilistas particulares, entre otros, surge la necesidad de reubicar la vialidad principal y con ello disminuir el tránsito ajeno en las inmediaciones del centro universitario, buscando en un futuro el cierre de dicha vialidad.</w:t>
      </w:r>
    </w:p>
    <w:p w:rsidR="001333A7" w:rsidRPr="00413D98" w:rsidRDefault="001333A7" w:rsidP="00413D98">
      <w:pPr>
        <w:spacing w:line="240" w:lineRule="auto"/>
        <w:ind w:left="425" w:hangingChars="194" w:hanging="427"/>
        <w:jc w:val="both"/>
        <w:rPr>
          <w:rFonts w:ascii="Arial" w:eastAsia="Arial" w:hAnsi="Arial" w:cs="Arial"/>
          <w:sz w:val="22"/>
          <w:szCs w:val="22"/>
        </w:rPr>
      </w:pPr>
    </w:p>
    <w:p w:rsidR="001333A7" w:rsidRPr="00097117" w:rsidRDefault="00CC5D42" w:rsidP="00413D98">
      <w:pPr>
        <w:numPr>
          <w:ilvl w:val="0"/>
          <w:numId w:val="2"/>
        </w:numPr>
        <w:spacing w:line="240" w:lineRule="auto"/>
        <w:ind w:left="425" w:hangingChars="194" w:hanging="427"/>
        <w:jc w:val="both"/>
        <w:rPr>
          <w:rFonts w:ascii="Arial" w:hAnsi="Arial" w:cs="Arial"/>
          <w:sz w:val="22"/>
          <w:szCs w:val="22"/>
        </w:rPr>
      </w:pPr>
      <w:r w:rsidRPr="00097117">
        <w:rPr>
          <w:rFonts w:ascii="Arial" w:eastAsia="Arial" w:hAnsi="Arial" w:cs="Arial"/>
          <w:sz w:val="22"/>
          <w:szCs w:val="22"/>
        </w:rPr>
        <w:t xml:space="preserve">Que como resultado del análisis a las distintas posibilidades de solución a los conflictos de movilidad y seguridad en la zona, la Universidad de Guadalajara, en conjunto con </w:t>
      </w:r>
      <w:r w:rsidR="00413D98" w:rsidRPr="00097117">
        <w:rPr>
          <w:rFonts w:ascii="Arial" w:eastAsia="Arial" w:hAnsi="Arial" w:cs="Arial"/>
          <w:sz w:val="22"/>
          <w:szCs w:val="22"/>
        </w:rPr>
        <w:t xml:space="preserve">el H. Ayuntamiento de Zapopan y </w:t>
      </w:r>
      <w:r w:rsidRPr="00097117">
        <w:rPr>
          <w:rFonts w:ascii="Arial" w:eastAsia="Arial" w:hAnsi="Arial" w:cs="Arial"/>
          <w:sz w:val="22"/>
          <w:szCs w:val="22"/>
        </w:rPr>
        <w:t xml:space="preserve">la Federación Estudiantil Universitaria, han construido diversos acuerdos, dentro de los cuales ha surgido la propuesta de dar continuidad y materializar el proyecto de una vialidad alterna denominada </w:t>
      </w:r>
      <w:r w:rsidRPr="00097117">
        <w:rPr>
          <w:rFonts w:ascii="Arial" w:eastAsia="Arial" w:hAnsi="Arial" w:cs="Arial"/>
          <w:b/>
          <w:sz w:val="22"/>
          <w:szCs w:val="22"/>
        </w:rPr>
        <w:t>“Peri CUCBA”</w:t>
      </w:r>
      <w:r w:rsidRPr="00097117">
        <w:rPr>
          <w:rFonts w:ascii="Arial" w:eastAsia="Arial" w:hAnsi="Arial" w:cs="Arial"/>
          <w:sz w:val="22"/>
          <w:szCs w:val="22"/>
        </w:rPr>
        <w:t xml:space="preserve">, además de implementar algunas otras estrategias que brinden mayor seguridad y accesibilidad a los estudiantes y miembros de la comunidad universitaria. </w:t>
      </w:r>
    </w:p>
    <w:p w:rsidR="001333A7" w:rsidRPr="00413D98" w:rsidRDefault="001333A7" w:rsidP="00413D98">
      <w:pPr>
        <w:spacing w:line="240" w:lineRule="auto"/>
        <w:ind w:left="425" w:hangingChars="194" w:hanging="427"/>
        <w:jc w:val="both"/>
        <w:rPr>
          <w:rFonts w:ascii="Arial" w:eastAsia="Arial" w:hAnsi="Arial" w:cs="Arial"/>
          <w:sz w:val="22"/>
          <w:szCs w:val="22"/>
        </w:rPr>
      </w:pPr>
    </w:p>
    <w:p w:rsidR="001333A7" w:rsidRPr="00413D98" w:rsidRDefault="00CC5D42" w:rsidP="00413D98">
      <w:pPr>
        <w:numPr>
          <w:ilvl w:val="0"/>
          <w:numId w:val="2"/>
        </w:numPr>
        <w:spacing w:line="240" w:lineRule="auto"/>
        <w:ind w:left="425" w:hangingChars="194" w:hanging="427"/>
        <w:jc w:val="both"/>
        <w:rPr>
          <w:rFonts w:ascii="Arial" w:hAnsi="Arial" w:cs="Arial"/>
          <w:sz w:val="22"/>
          <w:szCs w:val="22"/>
        </w:rPr>
      </w:pPr>
      <w:r w:rsidRPr="00413D98">
        <w:rPr>
          <w:rFonts w:ascii="Arial" w:eastAsia="Arial" w:hAnsi="Arial" w:cs="Arial"/>
          <w:sz w:val="22"/>
          <w:szCs w:val="22"/>
        </w:rPr>
        <w:t xml:space="preserve">Que con la construcción del </w:t>
      </w:r>
      <w:r w:rsidRPr="00413D98">
        <w:rPr>
          <w:rFonts w:ascii="Arial" w:eastAsia="Arial" w:hAnsi="Arial" w:cs="Arial"/>
          <w:b/>
          <w:sz w:val="22"/>
          <w:szCs w:val="22"/>
        </w:rPr>
        <w:t>“Peri CUCBA”</w:t>
      </w:r>
      <w:r w:rsidRPr="00413D98">
        <w:rPr>
          <w:rFonts w:ascii="Arial" w:eastAsia="Arial" w:hAnsi="Arial" w:cs="Arial"/>
          <w:sz w:val="22"/>
          <w:szCs w:val="22"/>
        </w:rPr>
        <w:t xml:space="preserve"> se impactará de manera positiva en el entorno universitario, al contar con una movilidad sin riesgo, un mayor control de acceso, y más seguridad dentro de las instalaciones del Centro Universitario. </w:t>
      </w:r>
    </w:p>
    <w:p w:rsidR="001333A7" w:rsidRPr="00413D98" w:rsidRDefault="001333A7" w:rsidP="00413D98">
      <w:pPr>
        <w:pBdr>
          <w:top w:val="nil"/>
          <w:left w:val="nil"/>
          <w:bottom w:val="nil"/>
          <w:right w:val="nil"/>
          <w:between w:val="nil"/>
        </w:pBdr>
        <w:spacing w:line="240" w:lineRule="auto"/>
        <w:ind w:left="425" w:hangingChars="194" w:hanging="427"/>
        <w:jc w:val="both"/>
        <w:rPr>
          <w:rFonts w:ascii="Arial" w:eastAsia="Arial" w:hAnsi="Arial" w:cs="Arial"/>
          <w:sz w:val="22"/>
          <w:szCs w:val="22"/>
        </w:rPr>
      </w:pPr>
    </w:p>
    <w:p w:rsidR="001333A7" w:rsidRPr="00413D98" w:rsidRDefault="00CC5D42" w:rsidP="00413D98">
      <w:pPr>
        <w:numPr>
          <w:ilvl w:val="0"/>
          <w:numId w:val="2"/>
        </w:numPr>
        <w:spacing w:line="240" w:lineRule="auto"/>
        <w:ind w:left="425" w:hangingChars="194" w:hanging="427"/>
        <w:jc w:val="both"/>
        <w:rPr>
          <w:rFonts w:ascii="Arial" w:hAnsi="Arial" w:cs="Arial"/>
          <w:sz w:val="22"/>
          <w:szCs w:val="22"/>
        </w:rPr>
      </w:pPr>
      <w:r w:rsidRPr="00413D98">
        <w:rPr>
          <w:rFonts w:ascii="Arial" w:eastAsia="Arial" w:hAnsi="Arial" w:cs="Arial"/>
          <w:sz w:val="22"/>
          <w:szCs w:val="22"/>
        </w:rPr>
        <w:t xml:space="preserve">Que con la finalidad de habilitar el </w:t>
      </w:r>
      <w:r w:rsidRPr="00413D98">
        <w:rPr>
          <w:rFonts w:ascii="Arial" w:eastAsia="Arial" w:hAnsi="Arial" w:cs="Arial"/>
          <w:b/>
          <w:sz w:val="22"/>
          <w:szCs w:val="22"/>
        </w:rPr>
        <w:t>“Peri CUCBA”</w:t>
      </w:r>
      <w:r w:rsidRPr="00413D98">
        <w:rPr>
          <w:rFonts w:ascii="Arial" w:eastAsia="Arial" w:hAnsi="Arial" w:cs="Arial"/>
          <w:sz w:val="22"/>
          <w:szCs w:val="22"/>
        </w:rPr>
        <w:t>, la Universidad de Guadalajara y el H. Ayuntamiento de Zapopan, Jalisco, acordaron la donación de una porción de terreno de 17,130.66 m² (diecisiete mil ciento treinta metros cuadrados con sesenta y seis centímetros), la cual se integra con:</w:t>
      </w:r>
    </w:p>
    <w:p w:rsidR="00413D98" w:rsidRPr="00413D98" w:rsidRDefault="00413D98" w:rsidP="00413D98">
      <w:pPr>
        <w:spacing w:line="240" w:lineRule="auto"/>
        <w:ind w:leftChars="0" w:left="425" w:firstLineChars="0" w:firstLine="0"/>
        <w:jc w:val="both"/>
        <w:rPr>
          <w:rFonts w:ascii="Arial" w:hAnsi="Arial" w:cs="Arial"/>
          <w:sz w:val="22"/>
          <w:szCs w:val="22"/>
        </w:rPr>
      </w:pPr>
    </w:p>
    <w:p w:rsidR="00877A91" w:rsidRPr="00413D98" w:rsidRDefault="00CC5D42" w:rsidP="00413D98">
      <w:pPr>
        <w:spacing w:line="240" w:lineRule="auto"/>
        <w:ind w:leftChars="237" w:left="852" w:hangingChars="128" w:hanging="283"/>
        <w:jc w:val="both"/>
        <w:rPr>
          <w:rFonts w:ascii="Arial" w:eastAsia="Arial" w:hAnsi="Arial" w:cs="Arial"/>
          <w:sz w:val="22"/>
          <w:szCs w:val="22"/>
        </w:rPr>
      </w:pPr>
      <w:r w:rsidRPr="00413D98">
        <w:rPr>
          <w:rFonts w:ascii="Arial" w:eastAsia="Arial" w:hAnsi="Arial" w:cs="Arial"/>
          <w:b/>
          <w:sz w:val="22"/>
          <w:szCs w:val="22"/>
        </w:rPr>
        <w:t>a)</w:t>
      </w:r>
      <w:r w:rsidR="00326A99" w:rsidRPr="00413D98">
        <w:rPr>
          <w:rFonts w:ascii="Arial" w:eastAsia="Arial" w:hAnsi="Arial" w:cs="Arial"/>
          <w:b/>
          <w:sz w:val="22"/>
          <w:szCs w:val="22"/>
        </w:rPr>
        <w:tab/>
      </w:r>
      <w:r w:rsidRPr="00413D98">
        <w:rPr>
          <w:rFonts w:ascii="Arial" w:eastAsia="Arial" w:hAnsi="Arial" w:cs="Arial"/>
          <w:sz w:val="22"/>
          <w:szCs w:val="22"/>
        </w:rPr>
        <w:t>3,340.45m</w:t>
      </w:r>
      <w:r w:rsidRPr="00413D98">
        <w:rPr>
          <w:rFonts w:ascii="Arial" w:eastAsia="Arial" w:hAnsi="Arial" w:cs="Arial"/>
          <w:sz w:val="22"/>
          <w:szCs w:val="22"/>
          <w:vertAlign w:val="superscript"/>
        </w:rPr>
        <w:t>2</w:t>
      </w:r>
      <w:r w:rsidRPr="00413D98">
        <w:rPr>
          <w:rFonts w:ascii="Arial" w:eastAsia="Arial" w:hAnsi="Arial" w:cs="Arial"/>
          <w:sz w:val="22"/>
          <w:szCs w:val="22"/>
        </w:rPr>
        <w:t xml:space="preserve">, superficie afectada del polígono de la escritura pública número 2178 y, </w:t>
      </w:r>
    </w:p>
    <w:p w:rsidR="00877A91" w:rsidRPr="00413D98" w:rsidRDefault="00CC5D42" w:rsidP="00413D98">
      <w:pPr>
        <w:spacing w:line="240" w:lineRule="auto"/>
        <w:ind w:leftChars="237" w:left="852" w:hangingChars="128" w:hanging="283"/>
        <w:jc w:val="both"/>
        <w:rPr>
          <w:rFonts w:ascii="Arial" w:eastAsia="Arial" w:hAnsi="Arial" w:cs="Arial"/>
          <w:sz w:val="22"/>
          <w:szCs w:val="22"/>
        </w:rPr>
      </w:pPr>
      <w:r w:rsidRPr="00413D98">
        <w:rPr>
          <w:rFonts w:ascii="Arial" w:eastAsia="Arial" w:hAnsi="Arial" w:cs="Arial"/>
          <w:b/>
          <w:sz w:val="22"/>
          <w:szCs w:val="22"/>
        </w:rPr>
        <w:t>b)</w:t>
      </w:r>
      <w:r w:rsidR="00326A99" w:rsidRPr="00413D98">
        <w:rPr>
          <w:rFonts w:ascii="Arial" w:eastAsia="Arial" w:hAnsi="Arial" w:cs="Arial"/>
          <w:b/>
          <w:sz w:val="22"/>
          <w:szCs w:val="22"/>
        </w:rPr>
        <w:tab/>
      </w:r>
      <w:r w:rsidRPr="00413D98">
        <w:rPr>
          <w:rFonts w:ascii="Arial" w:eastAsia="Arial" w:hAnsi="Arial" w:cs="Arial"/>
          <w:sz w:val="22"/>
          <w:szCs w:val="22"/>
        </w:rPr>
        <w:t>13,790.21m</w:t>
      </w:r>
      <w:r w:rsidR="00877A91" w:rsidRPr="00413D98">
        <w:rPr>
          <w:rFonts w:ascii="Arial" w:eastAsia="Arial" w:hAnsi="Arial" w:cs="Arial"/>
          <w:sz w:val="22"/>
          <w:szCs w:val="22"/>
          <w:vertAlign w:val="superscript"/>
        </w:rPr>
        <w:t>2</w:t>
      </w:r>
      <w:r w:rsidR="00326A99" w:rsidRPr="00413D98">
        <w:rPr>
          <w:rFonts w:ascii="Arial" w:eastAsia="Arial" w:hAnsi="Arial" w:cs="Arial"/>
          <w:sz w:val="22"/>
          <w:szCs w:val="22"/>
        </w:rPr>
        <w:t xml:space="preserve">, </w:t>
      </w:r>
      <w:r w:rsidR="00877A91" w:rsidRPr="00413D98">
        <w:rPr>
          <w:rFonts w:ascii="Arial" w:eastAsia="Arial" w:hAnsi="Arial" w:cs="Arial"/>
          <w:sz w:val="22"/>
          <w:szCs w:val="22"/>
        </w:rPr>
        <w:t>superficie afectada</w:t>
      </w:r>
      <w:r w:rsidRPr="00413D98">
        <w:rPr>
          <w:rFonts w:ascii="Arial" w:eastAsia="Arial" w:hAnsi="Arial" w:cs="Arial"/>
          <w:sz w:val="22"/>
          <w:szCs w:val="22"/>
        </w:rPr>
        <w:t xml:space="preserve"> del polígono 1 de la escritura pública número 10,655</w:t>
      </w:r>
      <w:r w:rsidR="00877A91" w:rsidRPr="00413D98">
        <w:rPr>
          <w:rFonts w:ascii="Arial" w:eastAsia="Arial" w:hAnsi="Arial" w:cs="Arial"/>
          <w:sz w:val="22"/>
          <w:szCs w:val="22"/>
        </w:rPr>
        <w:t>.</w:t>
      </w:r>
      <w:r w:rsidRPr="00413D98">
        <w:rPr>
          <w:rFonts w:ascii="Arial" w:eastAsia="Arial" w:hAnsi="Arial" w:cs="Arial"/>
          <w:sz w:val="22"/>
          <w:szCs w:val="22"/>
        </w:rPr>
        <w:t xml:space="preserve"> </w:t>
      </w:r>
    </w:p>
    <w:p w:rsidR="00877A91" w:rsidRPr="00413D98" w:rsidRDefault="00877A91" w:rsidP="00413D98">
      <w:pPr>
        <w:spacing w:line="240" w:lineRule="auto"/>
        <w:ind w:leftChars="0" w:left="0" w:firstLineChars="0" w:firstLine="0"/>
        <w:jc w:val="both"/>
        <w:rPr>
          <w:rFonts w:ascii="Arial" w:eastAsia="Arial" w:hAnsi="Arial" w:cs="Arial"/>
          <w:sz w:val="22"/>
          <w:szCs w:val="22"/>
        </w:rPr>
      </w:pPr>
    </w:p>
    <w:p w:rsidR="001333A7" w:rsidRPr="00413D98" w:rsidRDefault="00877A91" w:rsidP="00413D98">
      <w:pPr>
        <w:spacing w:line="240" w:lineRule="auto"/>
        <w:ind w:leftChars="0" w:left="0" w:firstLineChars="0" w:firstLine="0"/>
        <w:jc w:val="both"/>
        <w:rPr>
          <w:rFonts w:ascii="Arial" w:hAnsi="Arial" w:cs="Arial"/>
          <w:sz w:val="22"/>
          <w:szCs w:val="22"/>
        </w:rPr>
      </w:pPr>
      <w:r w:rsidRPr="00413D98">
        <w:rPr>
          <w:rFonts w:ascii="Arial" w:eastAsia="Arial" w:hAnsi="Arial" w:cs="Arial"/>
          <w:sz w:val="22"/>
          <w:szCs w:val="22"/>
        </w:rPr>
        <w:lastRenderedPageBreak/>
        <w:t xml:space="preserve">Dichas superficies </w:t>
      </w:r>
      <w:r w:rsidR="00CC5D42" w:rsidRPr="00413D98">
        <w:rPr>
          <w:rFonts w:ascii="Arial" w:eastAsia="Arial" w:hAnsi="Arial" w:cs="Arial"/>
          <w:sz w:val="22"/>
          <w:szCs w:val="22"/>
        </w:rPr>
        <w:t>forman parte del</w:t>
      </w:r>
      <w:r w:rsidR="00CC5D42" w:rsidRPr="00413D98">
        <w:rPr>
          <w:rFonts w:ascii="Arial" w:eastAsia="Arial" w:hAnsi="Arial" w:cs="Arial"/>
          <w:b/>
          <w:sz w:val="22"/>
          <w:szCs w:val="22"/>
        </w:rPr>
        <w:t xml:space="preserve"> </w:t>
      </w:r>
      <w:r w:rsidR="00CC5D42" w:rsidRPr="00413D98">
        <w:rPr>
          <w:rFonts w:ascii="Arial" w:eastAsia="Arial" w:hAnsi="Arial" w:cs="Arial"/>
          <w:sz w:val="22"/>
          <w:szCs w:val="22"/>
        </w:rPr>
        <w:t>Centro Universitario de Ciencias Biológicas y Agropecuarias de la Universidad de Guadalajara y deberán ser destinadas para la construcción de la vialidad.</w:t>
      </w:r>
    </w:p>
    <w:p w:rsidR="001333A7" w:rsidRPr="00413D98" w:rsidRDefault="001333A7" w:rsidP="00413D98">
      <w:pPr>
        <w:pBdr>
          <w:top w:val="nil"/>
          <w:left w:val="nil"/>
          <w:bottom w:val="nil"/>
          <w:right w:val="nil"/>
          <w:between w:val="nil"/>
        </w:pBdr>
        <w:spacing w:line="240" w:lineRule="auto"/>
        <w:ind w:left="0" w:hanging="2"/>
        <w:jc w:val="both"/>
        <w:rPr>
          <w:rFonts w:ascii="Arial" w:eastAsia="Arial" w:hAnsi="Arial" w:cs="Arial"/>
          <w:sz w:val="22"/>
          <w:szCs w:val="22"/>
        </w:rPr>
      </w:pPr>
    </w:p>
    <w:p w:rsidR="001333A7" w:rsidRPr="00413D98" w:rsidRDefault="00CC5D42" w:rsidP="00413D98">
      <w:pPr>
        <w:numPr>
          <w:ilvl w:val="0"/>
          <w:numId w:val="2"/>
        </w:numPr>
        <w:pBdr>
          <w:top w:val="nil"/>
          <w:left w:val="nil"/>
          <w:bottom w:val="nil"/>
          <w:right w:val="nil"/>
          <w:between w:val="nil"/>
        </w:pBdr>
        <w:spacing w:line="240" w:lineRule="auto"/>
        <w:ind w:left="425" w:hangingChars="194" w:hanging="427"/>
        <w:jc w:val="both"/>
        <w:rPr>
          <w:rFonts w:ascii="Arial" w:hAnsi="Arial" w:cs="Arial"/>
          <w:sz w:val="22"/>
          <w:szCs w:val="22"/>
        </w:rPr>
      </w:pPr>
      <w:proofErr w:type="gramStart"/>
      <w:r w:rsidRPr="00413D98">
        <w:rPr>
          <w:rFonts w:ascii="Arial" w:eastAsia="Arial" w:hAnsi="Arial" w:cs="Arial"/>
          <w:sz w:val="22"/>
          <w:szCs w:val="22"/>
        </w:rPr>
        <w:t>Que</w:t>
      </w:r>
      <w:proofErr w:type="gramEnd"/>
      <w:r w:rsidRPr="00413D98">
        <w:rPr>
          <w:rFonts w:ascii="Arial" w:eastAsia="Arial" w:hAnsi="Arial" w:cs="Arial"/>
          <w:sz w:val="22"/>
          <w:szCs w:val="22"/>
        </w:rPr>
        <w:t xml:space="preserve"> con la desincorporación y donación del terreno mencionado, la Universidad de Guadalajara refrenda su compromiso con la comunidad universitaria, con la sociedad jalisciense y con el municipio de Zapopan, favoreciendo la comunicación vial en las inmediaciones del CUCBA e impactando positivamente en las condiciones de seguridad, impulsando así el desarrollo de toda la zona.</w:t>
      </w:r>
    </w:p>
    <w:p w:rsidR="001333A7" w:rsidRPr="00413D98" w:rsidRDefault="001333A7" w:rsidP="00413D98">
      <w:pPr>
        <w:pBdr>
          <w:top w:val="nil"/>
          <w:left w:val="nil"/>
          <w:bottom w:val="nil"/>
          <w:right w:val="nil"/>
          <w:between w:val="nil"/>
        </w:pBdr>
        <w:spacing w:line="240" w:lineRule="auto"/>
        <w:ind w:left="425" w:hangingChars="194" w:hanging="427"/>
        <w:jc w:val="both"/>
        <w:rPr>
          <w:rFonts w:ascii="Arial" w:eastAsia="Arial" w:hAnsi="Arial" w:cs="Arial"/>
          <w:sz w:val="22"/>
          <w:szCs w:val="22"/>
        </w:rPr>
      </w:pPr>
    </w:p>
    <w:p w:rsidR="001333A7" w:rsidRPr="00413D98" w:rsidRDefault="00CC5D42" w:rsidP="00413D98">
      <w:pPr>
        <w:numPr>
          <w:ilvl w:val="0"/>
          <w:numId w:val="2"/>
        </w:numPr>
        <w:pBdr>
          <w:top w:val="nil"/>
          <w:left w:val="nil"/>
          <w:bottom w:val="nil"/>
          <w:right w:val="nil"/>
          <w:between w:val="nil"/>
        </w:pBdr>
        <w:spacing w:line="240" w:lineRule="auto"/>
        <w:ind w:left="425" w:hangingChars="194" w:hanging="427"/>
        <w:jc w:val="both"/>
        <w:rPr>
          <w:rFonts w:ascii="Arial" w:hAnsi="Arial" w:cs="Arial"/>
          <w:sz w:val="22"/>
          <w:szCs w:val="22"/>
        </w:rPr>
      </w:pPr>
      <w:r w:rsidRPr="00413D98">
        <w:rPr>
          <w:rFonts w:ascii="Arial" w:eastAsia="Arial" w:hAnsi="Arial" w:cs="Arial"/>
          <w:sz w:val="22"/>
          <w:szCs w:val="22"/>
        </w:rPr>
        <w:t xml:space="preserve">Que las medidas y linderos de la superficie 17,130.66 m² (diecisiete mil ciento treinta metros cuadrados con sesenta y seis centímetros) que se propone sea desincorporado del patrimonio universitario y donado al H. Ayuntamiento de Zapopan, se encuentran </w:t>
      </w:r>
      <w:proofErr w:type="spellStart"/>
      <w:r w:rsidRPr="00413D98">
        <w:rPr>
          <w:rFonts w:ascii="Arial" w:eastAsia="Arial" w:hAnsi="Arial" w:cs="Arial"/>
          <w:sz w:val="22"/>
          <w:szCs w:val="22"/>
        </w:rPr>
        <w:t>georeferenciados</w:t>
      </w:r>
      <w:proofErr w:type="spellEnd"/>
      <w:r w:rsidRPr="00413D98">
        <w:rPr>
          <w:rFonts w:ascii="Arial" w:eastAsia="Arial" w:hAnsi="Arial" w:cs="Arial"/>
          <w:sz w:val="22"/>
          <w:szCs w:val="22"/>
        </w:rPr>
        <w:t xml:space="preserve"> en el Anexo 1 del presente Dictamen. Su valor comercial, de acuerdo con lo determinado en el avalúo realizado es de $24,668,150.00 (veinticuatro millones seiscientos sesenta y ocho mil ciento cincuenta pesos 00/100 M.N.). </w:t>
      </w:r>
    </w:p>
    <w:p w:rsidR="001333A7" w:rsidRPr="00413D98" w:rsidRDefault="001333A7" w:rsidP="00413D98">
      <w:pPr>
        <w:pBdr>
          <w:top w:val="nil"/>
          <w:left w:val="nil"/>
          <w:bottom w:val="nil"/>
          <w:right w:val="nil"/>
          <w:between w:val="nil"/>
        </w:pBdr>
        <w:spacing w:line="240" w:lineRule="auto"/>
        <w:ind w:left="425" w:hangingChars="194" w:hanging="427"/>
        <w:jc w:val="both"/>
        <w:rPr>
          <w:rFonts w:ascii="Arial" w:eastAsia="Arial" w:hAnsi="Arial" w:cs="Arial"/>
          <w:sz w:val="22"/>
          <w:szCs w:val="22"/>
        </w:rPr>
      </w:pPr>
    </w:p>
    <w:p w:rsidR="001333A7" w:rsidRPr="00413D98" w:rsidRDefault="00CC5D42" w:rsidP="00413D98">
      <w:pPr>
        <w:pBdr>
          <w:top w:val="nil"/>
          <w:left w:val="nil"/>
          <w:bottom w:val="nil"/>
          <w:right w:val="nil"/>
          <w:between w:val="nil"/>
        </w:pBdr>
        <w:spacing w:line="240" w:lineRule="auto"/>
        <w:ind w:left="0" w:hanging="2"/>
        <w:jc w:val="both"/>
        <w:rPr>
          <w:rFonts w:ascii="Arial" w:eastAsia="Arial" w:hAnsi="Arial" w:cs="Arial"/>
          <w:sz w:val="22"/>
          <w:szCs w:val="22"/>
        </w:rPr>
      </w:pPr>
      <w:r w:rsidRPr="00413D98">
        <w:rPr>
          <w:rFonts w:ascii="Arial" w:eastAsia="Arial" w:hAnsi="Arial" w:cs="Arial"/>
          <w:sz w:val="22"/>
          <w:szCs w:val="22"/>
        </w:rPr>
        <w:t xml:space="preserve"> </w:t>
      </w:r>
    </w:p>
    <w:p w:rsidR="001333A7" w:rsidRPr="00413D98" w:rsidRDefault="00CC5D42" w:rsidP="00413D98">
      <w:pPr>
        <w:spacing w:line="240" w:lineRule="auto"/>
        <w:ind w:left="0" w:hanging="2"/>
        <w:jc w:val="both"/>
        <w:rPr>
          <w:rFonts w:ascii="Arial" w:eastAsia="Arial" w:hAnsi="Arial" w:cs="Arial"/>
          <w:sz w:val="22"/>
          <w:szCs w:val="22"/>
        </w:rPr>
      </w:pPr>
      <w:r w:rsidRPr="00413D98">
        <w:rPr>
          <w:rFonts w:ascii="Arial" w:eastAsia="Arial" w:hAnsi="Arial" w:cs="Arial"/>
          <w:sz w:val="22"/>
          <w:szCs w:val="22"/>
        </w:rPr>
        <w:t>En virtud de lo anterior, esta Comisión de Hacienda encuentra elementos suficientes para aprobar la desincorporación y donación de la superficie señalada, propiedad de la Universidad de Guadalajara, al Ayuntamiento de Zapopan, Jalisco, tomando en consideración los siguientes:</w:t>
      </w:r>
    </w:p>
    <w:p w:rsidR="001333A7" w:rsidRPr="00413D98" w:rsidRDefault="00CC5D42" w:rsidP="00413D98">
      <w:pPr>
        <w:spacing w:line="240" w:lineRule="auto"/>
        <w:ind w:left="0" w:hanging="2"/>
        <w:jc w:val="center"/>
        <w:rPr>
          <w:rFonts w:ascii="Arial" w:eastAsia="Arial" w:hAnsi="Arial" w:cs="Arial"/>
          <w:b/>
          <w:sz w:val="22"/>
          <w:szCs w:val="22"/>
        </w:rPr>
      </w:pPr>
      <w:r w:rsidRPr="00413D98">
        <w:rPr>
          <w:rFonts w:ascii="Arial" w:eastAsia="Arial" w:hAnsi="Arial" w:cs="Arial"/>
          <w:b/>
          <w:sz w:val="22"/>
          <w:szCs w:val="22"/>
        </w:rPr>
        <w:t xml:space="preserve"> </w:t>
      </w:r>
    </w:p>
    <w:p w:rsidR="00097117" w:rsidRDefault="00097117" w:rsidP="00413D98">
      <w:pPr>
        <w:spacing w:line="240" w:lineRule="auto"/>
        <w:ind w:left="0" w:hanging="2"/>
        <w:jc w:val="center"/>
        <w:rPr>
          <w:rFonts w:ascii="Arial" w:eastAsia="Arial" w:hAnsi="Arial" w:cs="Arial"/>
          <w:b/>
          <w:sz w:val="22"/>
          <w:szCs w:val="22"/>
        </w:rPr>
      </w:pPr>
    </w:p>
    <w:p w:rsidR="001333A7" w:rsidRPr="00413D98" w:rsidRDefault="00CC5D42" w:rsidP="00413D98">
      <w:pPr>
        <w:spacing w:line="240" w:lineRule="auto"/>
        <w:ind w:left="0" w:hanging="2"/>
        <w:jc w:val="center"/>
        <w:rPr>
          <w:rFonts w:ascii="Arial" w:eastAsia="Arial" w:hAnsi="Arial" w:cs="Arial"/>
          <w:sz w:val="22"/>
          <w:szCs w:val="22"/>
        </w:rPr>
      </w:pPr>
      <w:r w:rsidRPr="00413D98">
        <w:rPr>
          <w:rFonts w:ascii="Arial" w:eastAsia="Arial" w:hAnsi="Arial" w:cs="Arial"/>
          <w:b/>
          <w:sz w:val="22"/>
          <w:szCs w:val="22"/>
        </w:rPr>
        <w:t>FUNDAMENTOS JURÍDICOS</w:t>
      </w:r>
    </w:p>
    <w:p w:rsidR="001333A7" w:rsidRPr="00413D98" w:rsidRDefault="001333A7" w:rsidP="00413D98">
      <w:pPr>
        <w:spacing w:line="240" w:lineRule="auto"/>
        <w:ind w:left="0" w:hanging="2"/>
        <w:jc w:val="center"/>
        <w:rPr>
          <w:rFonts w:ascii="Arial" w:eastAsia="Arial" w:hAnsi="Arial" w:cs="Arial"/>
          <w:sz w:val="22"/>
          <w:szCs w:val="22"/>
        </w:rPr>
      </w:pPr>
    </w:p>
    <w:p w:rsidR="001333A7" w:rsidRPr="00413D98" w:rsidRDefault="00CC5D42" w:rsidP="00413D98">
      <w:pPr>
        <w:numPr>
          <w:ilvl w:val="0"/>
          <w:numId w:val="1"/>
        </w:numPr>
        <w:pBdr>
          <w:top w:val="nil"/>
          <w:left w:val="nil"/>
          <w:bottom w:val="nil"/>
          <w:right w:val="nil"/>
          <w:between w:val="nil"/>
        </w:pBdr>
        <w:spacing w:line="240" w:lineRule="auto"/>
        <w:ind w:left="425" w:hangingChars="194" w:hanging="427"/>
        <w:jc w:val="both"/>
        <w:rPr>
          <w:rFonts w:ascii="Arial" w:hAnsi="Arial" w:cs="Arial"/>
          <w:color w:val="000000"/>
          <w:sz w:val="22"/>
          <w:szCs w:val="22"/>
        </w:rPr>
      </w:pPr>
      <w:r w:rsidRPr="00413D98">
        <w:rPr>
          <w:rFonts w:ascii="Arial" w:eastAsia="Arial" w:hAnsi="Arial" w:cs="Arial"/>
          <w:color w:val="000000"/>
          <w:sz w:val="22"/>
          <w:szCs w:val="22"/>
        </w:rPr>
        <w:t>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de conformidad con lo dispuesto en el artículo 1º de su Ley Orgánica, promulgada por el ejecutivo local el día 15 de enero de 1994, en ejecución del Decreto No. 15319 del H. Congreso del Estado de Jalisco.</w:t>
      </w:r>
    </w:p>
    <w:p w:rsidR="001333A7" w:rsidRPr="00413D98" w:rsidRDefault="001333A7" w:rsidP="00413D98">
      <w:pPr>
        <w:spacing w:line="240" w:lineRule="auto"/>
        <w:ind w:left="425" w:hangingChars="194" w:hanging="427"/>
        <w:jc w:val="both"/>
        <w:rPr>
          <w:rFonts w:ascii="Arial" w:eastAsia="Arial" w:hAnsi="Arial" w:cs="Arial"/>
          <w:sz w:val="22"/>
          <w:szCs w:val="22"/>
        </w:rPr>
      </w:pPr>
    </w:p>
    <w:p w:rsidR="001333A7" w:rsidRPr="00413D98" w:rsidRDefault="00CC5D42" w:rsidP="00413D98">
      <w:pPr>
        <w:numPr>
          <w:ilvl w:val="0"/>
          <w:numId w:val="1"/>
        </w:numPr>
        <w:pBdr>
          <w:top w:val="nil"/>
          <w:left w:val="nil"/>
          <w:bottom w:val="nil"/>
          <w:right w:val="nil"/>
          <w:between w:val="nil"/>
        </w:pBdr>
        <w:spacing w:line="240" w:lineRule="auto"/>
        <w:ind w:left="425" w:hangingChars="194" w:hanging="427"/>
        <w:jc w:val="both"/>
        <w:rPr>
          <w:rFonts w:ascii="Arial" w:hAnsi="Arial" w:cs="Arial"/>
          <w:color w:val="000000"/>
          <w:sz w:val="22"/>
          <w:szCs w:val="22"/>
        </w:rPr>
      </w:pPr>
      <w:r w:rsidRPr="00413D98">
        <w:rPr>
          <w:rFonts w:ascii="Arial" w:eastAsia="Arial" w:hAnsi="Arial" w:cs="Arial"/>
          <w:color w:val="000000"/>
          <w:sz w:val="22"/>
          <w:szCs w:val="22"/>
        </w:rPr>
        <w:t>Que como lo señalan las fracciones I, II y IV, del artículo 5 de la Ley Orgánica de la Universidad, en vigor, entre otros fines de esta Casa de Estudios se encuentran, el formar y actualizar los técnicos, bachilleres, técnicos profesionales, profesionistas, graduados y demás recursos humanos que requiera el desarrollo socioeconómico del Estado; organizar, realizar, fomentar y difundir la investigación científica, tecnológica y humanística, así como coadyuvar con las autoridades educativas competentes en la orientación y promoción de la educación media superior y superior, así como en el desarrollo de la ciencia y la tecnología.</w:t>
      </w:r>
    </w:p>
    <w:p w:rsidR="001333A7" w:rsidRPr="00413D98" w:rsidRDefault="001333A7" w:rsidP="00413D98">
      <w:pPr>
        <w:spacing w:line="240" w:lineRule="auto"/>
        <w:ind w:left="425" w:hangingChars="194" w:hanging="427"/>
        <w:jc w:val="both"/>
        <w:rPr>
          <w:rFonts w:ascii="Arial" w:eastAsia="Arial" w:hAnsi="Arial" w:cs="Arial"/>
          <w:sz w:val="22"/>
          <w:szCs w:val="22"/>
        </w:rPr>
      </w:pPr>
    </w:p>
    <w:p w:rsidR="001333A7" w:rsidRPr="00413D98" w:rsidRDefault="00CC5D42" w:rsidP="00413D98">
      <w:pPr>
        <w:numPr>
          <w:ilvl w:val="0"/>
          <w:numId w:val="1"/>
        </w:numPr>
        <w:pBdr>
          <w:top w:val="nil"/>
          <w:left w:val="nil"/>
          <w:bottom w:val="nil"/>
          <w:right w:val="nil"/>
          <w:between w:val="nil"/>
        </w:pBdr>
        <w:spacing w:line="240" w:lineRule="auto"/>
        <w:ind w:left="425" w:hangingChars="194" w:hanging="427"/>
        <w:jc w:val="both"/>
        <w:rPr>
          <w:rFonts w:ascii="Arial" w:hAnsi="Arial" w:cs="Arial"/>
          <w:color w:val="000000"/>
          <w:sz w:val="22"/>
          <w:szCs w:val="22"/>
        </w:rPr>
      </w:pPr>
      <w:r w:rsidRPr="00413D98">
        <w:rPr>
          <w:rFonts w:ascii="Arial" w:eastAsia="Arial" w:hAnsi="Arial" w:cs="Arial"/>
          <w:color w:val="000000"/>
          <w:sz w:val="22"/>
          <w:szCs w:val="22"/>
        </w:rPr>
        <w:t>Que el artículo 6, fracción XI de la Ley Orgánica, establece como una de sus atribuciones de la Universidad el administrar su patrimonio.</w:t>
      </w:r>
    </w:p>
    <w:p w:rsidR="001333A7" w:rsidRPr="00413D98" w:rsidRDefault="001333A7" w:rsidP="00413D98">
      <w:pPr>
        <w:pBdr>
          <w:top w:val="nil"/>
          <w:left w:val="nil"/>
          <w:bottom w:val="nil"/>
          <w:right w:val="nil"/>
          <w:between w:val="nil"/>
        </w:pBdr>
        <w:spacing w:line="240" w:lineRule="auto"/>
        <w:ind w:left="425" w:hangingChars="194" w:hanging="427"/>
        <w:rPr>
          <w:rFonts w:ascii="Arial" w:eastAsia="Arial" w:hAnsi="Arial" w:cs="Arial"/>
          <w:color w:val="000000"/>
          <w:sz w:val="22"/>
          <w:szCs w:val="22"/>
        </w:rPr>
      </w:pPr>
    </w:p>
    <w:p w:rsidR="001333A7" w:rsidRPr="00413D98" w:rsidRDefault="00CC5D42" w:rsidP="00413D98">
      <w:pPr>
        <w:numPr>
          <w:ilvl w:val="0"/>
          <w:numId w:val="1"/>
        </w:numPr>
        <w:pBdr>
          <w:top w:val="nil"/>
          <w:left w:val="nil"/>
          <w:bottom w:val="nil"/>
          <w:right w:val="nil"/>
          <w:between w:val="nil"/>
        </w:pBdr>
        <w:spacing w:line="240" w:lineRule="auto"/>
        <w:ind w:left="425" w:hangingChars="194" w:hanging="427"/>
        <w:jc w:val="both"/>
        <w:rPr>
          <w:rFonts w:ascii="Arial" w:hAnsi="Arial" w:cs="Arial"/>
          <w:color w:val="000000"/>
          <w:sz w:val="22"/>
          <w:szCs w:val="22"/>
        </w:rPr>
      </w:pPr>
      <w:r w:rsidRPr="00413D98">
        <w:rPr>
          <w:rFonts w:ascii="Arial" w:eastAsia="Arial" w:hAnsi="Arial" w:cs="Arial"/>
          <w:color w:val="000000"/>
          <w:sz w:val="22"/>
          <w:szCs w:val="22"/>
        </w:rPr>
        <w:lastRenderedPageBreak/>
        <w:t>Que la misma Ley, contempla en su artículo 31 fracción XII, que es atribución del H. Consejo General Universitario, resolver sobre la desincorporación del dominio público de los bienes inmuebles de la Universidad.</w:t>
      </w:r>
    </w:p>
    <w:p w:rsidR="001333A7" w:rsidRPr="00413D98" w:rsidRDefault="001333A7" w:rsidP="00413D98">
      <w:pPr>
        <w:spacing w:line="240" w:lineRule="auto"/>
        <w:ind w:left="425" w:hangingChars="194" w:hanging="427"/>
        <w:jc w:val="both"/>
        <w:rPr>
          <w:rFonts w:ascii="Arial" w:eastAsia="Arial" w:hAnsi="Arial" w:cs="Arial"/>
          <w:sz w:val="22"/>
          <w:szCs w:val="22"/>
        </w:rPr>
      </w:pPr>
    </w:p>
    <w:p w:rsidR="001333A7" w:rsidRPr="00413D98" w:rsidRDefault="00CC5D42" w:rsidP="00413D98">
      <w:pPr>
        <w:numPr>
          <w:ilvl w:val="0"/>
          <w:numId w:val="1"/>
        </w:numPr>
        <w:pBdr>
          <w:top w:val="nil"/>
          <w:left w:val="nil"/>
          <w:bottom w:val="nil"/>
          <w:right w:val="nil"/>
          <w:between w:val="nil"/>
        </w:pBdr>
        <w:spacing w:line="240" w:lineRule="auto"/>
        <w:ind w:left="425" w:hangingChars="194" w:hanging="427"/>
        <w:jc w:val="both"/>
        <w:rPr>
          <w:rFonts w:ascii="Arial" w:hAnsi="Arial" w:cs="Arial"/>
          <w:color w:val="000000"/>
          <w:sz w:val="22"/>
          <w:szCs w:val="22"/>
        </w:rPr>
      </w:pPr>
      <w:r w:rsidRPr="00413D98">
        <w:rPr>
          <w:rFonts w:ascii="Arial" w:eastAsia="Arial" w:hAnsi="Arial" w:cs="Arial"/>
          <w:color w:val="000000"/>
          <w:sz w:val="22"/>
          <w:szCs w:val="22"/>
        </w:rPr>
        <w:t>Que tal y como lo establece la fracción I, del artículo 85 de la Ley Orgánica, en vigor, los bienes inmuebles que forman parte del patrimonio universitario, mientras estén destinados a su servicio, serán inalienables, imprescriptibles e inembargables y sobre ellos no podrá constituirse gravamen alguno.</w:t>
      </w:r>
    </w:p>
    <w:p w:rsidR="001333A7" w:rsidRPr="00413D98" w:rsidRDefault="001333A7" w:rsidP="00413D98">
      <w:pPr>
        <w:pBdr>
          <w:top w:val="nil"/>
          <w:left w:val="nil"/>
          <w:bottom w:val="nil"/>
          <w:right w:val="nil"/>
          <w:between w:val="nil"/>
        </w:pBdr>
        <w:spacing w:line="240" w:lineRule="auto"/>
        <w:ind w:left="425" w:hangingChars="194" w:hanging="427"/>
        <w:rPr>
          <w:rFonts w:ascii="Arial" w:eastAsia="Arial" w:hAnsi="Arial" w:cs="Arial"/>
          <w:color w:val="000000"/>
          <w:sz w:val="22"/>
          <w:szCs w:val="22"/>
        </w:rPr>
      </w:pPr>
    </w:p>
    <w:p w:rsidR="001333A7" w:rsidRPr="00413D98" w:rsidRDefault="00CC5D42" w:rsidP="00413D98">
      <w:pPr>
        <w:numPr>
          <w:ilvl w:val="0"/>
          <w:numId w:val="1"/>
        </w:numPr>
        <w:pBdr>
          <w:top w:val="nil"/>
          <w:left w:val="nil"/>
          <w:bottom w:val="nil"/>
          <w:right w:val="nil"/>
          <w:between w:val="nil"/>
        </w:pBdr>
        <w:spacing w:line="240" w:lineRule="auto"/>
        <w:ind w:left="425" w:hangingChars="194" w:hanging="427"/>
        <w:jc w:val="both"/>
        <w:rPr>
          <w:rFonts w:ascii="Arial" w:hAnsi="Arial" w:cs="Arial"/>
          <w:color w:val="000000"/>
          <w:sz w:val="22"/>
          <w:szCs w:val="22"/>
        </w:rPr>
      </w:pPr>
      <w:r w:rsidRPr="00413D98">
        <w:rPr>
          <w:rFonts w:ascii="Arial" w:eastAsia="Arial" w:hAnsi="Arial" w:cs="Arial"/>
          <w:color w:val="000000"/>
          <w:sz w:val="22"/>
          <w:szCs w:val="22"/>
        </w:rPr>
        <w:t>Que en la fracci</w:t>
      </w:r>
      <w:r w:rsidRPr="00413D98">
        <w:rPr>
          <w:rFonts w:ascii="Arial" w:eastAsia="Arial" w:hAnsi="Arial" w:cs="Arial"/>
          <w:sz w:val="22"/>
          <w:szCs w:val="22"/>
        </w:rPr>
        <w:t>ón</w:t>
      </w:r>
      <w:r w:rsidRPr="00413D98">
        <w:rPr>
          <w:rFonts w:ascii="Arial" w:eastAsia="Arial" w:hAnsi="Arial" w:cs="Arial"/>
          <w:color w:val="000000"/>
          <w:sz w:val="22"/>
          <w:szCs w:val="22"/>
        </w:rPr>
        <w:t xml:space="preserve"> II del mismo artículo 85, se establece que el Consejo General Universitario con la aprobación de las dos terceras partes de sus miembros, podrá autorizar la desincorporación de bienes inmuebles del dominio público; su resolución protocolizada se inscribirá en el Registro Público de la Propiedad. Desde ese momento, los bienes liberados serán considerados del dominio privado, pero continuarán siendo imprescriptibles.</w:t>
      </w:r>
    </w:p>
    <w:p w:rsidR="001333A7" w:rsidRPr="00413D98" w:rsidRDefault="001333A7" w:rsidP="00413D98">
      <w:pPr>
        <w:spacing w:line="240" w:lineRule="auto"/>
        <w:ind w:left="425" w:hangingChars="194" w:hanging="427"/>
        <w:jc w:val="both"/>
        <w:rPr>
          <w:rFonts w:ascii="Arial" w:eastAsia="Arial" w:hAnsi="Arial" w:cs="Arial"/>
          <w:sz w:val="22"/>
          <w:szCs w:val="22"/>
        </w:rPr>
      </w:pPr>
    </w:p>
    <w:p w:rsidR="001333A7" w:rsidRPr="00413D98" w:rsidRDefault="00CC5D42" w:rsidP="00413D98">
      <w:pPr>
        <w:numPr>
          <w:ilvl w:val="0"/>
          <w:numId w:val="1"/>
        </w:numPr>
        <w:pBdr>
          <w:top w:val="nil"/>
          <w:left w:val="nil"/>
          <w:bottom w:val="nil"/>
          <w:right w:val="nil"/>
          <w:between w:val="nil"/>
        </w:pBdr>
        <w:spacing w:line="240" w:lineRule="auto"/>
        <w:ind w:left="425" w:hangingChars="194" w:hanging="427"/>
        <w:jc w:val="both"/>
        <w:rPr>
          <w:rFonts w:ascii="Arial" w:hAnsi="Arial" w:cs="Arial"/>
          <w:color w:val="000000"/>
          <w:sz w:val="22"/>
          <w:szCs w:val="22"/>
        </w:rPr>
      </w:pPr>
      <w:r w:rsidRPr="00413D98">
        <w:rPr>
          <w:rFonts w:ascii="Arial" w:eastAsia="Arial" w:hAnsi="Arial" w:cs="Arial"/>
          <w:color w:val="000000"/>
          <w:sz w:val="22"/>
          <w:szCs w:val="22"/>
        </w:rPr>
        <w:t>Que es facultad del Rector General de la Universidad, según lo dispuesto por el artículo 35, fracción II, de la Ley Orgánica, promover todo lo que contribuya al mejoramiento académico, administrativo y patrimonial de la Universidad.</w:t>
      </w:r>
    </w:p>
    <w:p w:rsidR="001333A7" w:rsidRPr="00413D98" w:rsidRDefault="001333A7" w:rsidP="00413D98">
      <w:pPr>
        <w:pBdr>
          <w:top w:val="nil"/>
          <w:left w:val="nil"/>
          <w:bottom w:val="nil"/>
          <w:right w:val="nil"/>
          <w:between w:val="nil"/>
        </w:pBdr>
        <w:spacing w:line="240" w:lineRule="auto"/>
        <w:ind w:left="425" w:hangingChars="194" w:hanging="427"/>
        <w:rPr>
          <w:rFonts w:ascii="Arial" w:eastAsia="Arial" w:hAnsi="Arial" w:cs="Arial"/>
          <w:color w:val="000000"/>
          <w:sz w:val="22"/>
          <w:szCs w:val="22"/>
        </w:rPr>
      </w:pPr>
    </w:p>
    <w:p w:rsidR="001333A7" w:rsidRPr="00413D98" w:rsidRDefault="00CC5D42" w:rsidP="00413D98">
      <w:pPr>
        <w:numPr>
          <w:ilvl w:val="0"/>
          <w:numId w:val="1"/>
        </w:numPr>
        <w:pBdr>
          <w:top w:val="nil"/>
          <w:left w:val="nil"/>
          <w:bottom w:val="nil"/>
          <w:right w:val="nil"/>
          <w:between w:val="nil"/>
        </w:pBdr>
        <w:spacing w:line="240" w:lineRule="auto"/>
        <w:ind w:left="425" w:hangingChars="194" w:hanging="427"/>
        <w:jc w:val="both"/>
        <w:rPr>
          <w:rFonts w:ascii="Arial" w:hAnsi="Arial" w:cs="Arial"/>
          <w:color w:val="000000"/>
          <w:sz w:val="22"/>
          <w:szCs w:val="22"/>
        </w:rPr>
      </w:pPr>
      <w:r w:rsidRPr="00413D98">
        <w:rPr>
          <w:rFonts w:ascii="Arial" w:eastAsia="Arial" w:hAnsi="Arial" w:cs="Arial"/>
          <w:color w:val="000000"/>
          <w:sz w:val="22"/>
          <w:szCs w:val="22"/>
        </w:rPr>
        <w:t>Que en el caso que nos ocupa</w:t>
      </w:r>
      <w:r w:rsidRPr="00413D98">
        <w:rPr>
          <w:rFonts w:ascii="Arial" w:eastAsia="Arial" w:hAnsi="Arial" w:cs="Arial"/>
          <w:sz w:val="22"/>
          <w:szCs w:val="22"/>
        </w:rPr>
        <w:t>, los bienes de la Universidad de Guadalajara, objeto de este dictamen serán donados al Ayuntamiento de Zapopan, Jalisco, a efecto de que sea destinados para la construcción de la vialidad a la que se le denominara “</w:t>
      </w:r>
      <w:r w:rsidRPr="00413D98">
        <w:rPr>
          <w:rFonts w:ascii="Arial" w:eastAsia="Arial" w:hAnsi="Arial" w:cs="Arial"/>
          <w:b/>
          <w:sz w:val="22"/>
          <w:szCs w:val="22"/>
        </w:rPr>
        <w:t>Peri CUCBA</w:t>
      </w:r>
      <w:r w:rsidRPr="00413D98">
        <w:rPr>
          <w:rFonts w:ascii="Arial" w:eastAsia="Arial" w:hAnsi="Arial" w:cs="Arial"/>
          <w:sz w:val="22"/>
          <w:szCs w:val="22"/>
        </w:rPr>
        <w:t>”.</w:t>
      </w:r>
    </w:p>
    <w:p w:rsidR="001333A7" w:rsidRPr="00413D98" w:rsidRDefault="001333A7" w:rsidP="00413D98">
      <w:pPr>
        <w:spacing w:line="240" w:lineRule="auto"/>
        <w:ind w:left="0" w:hanging="2"/>
        <w:jc w:val="both"/>
        <w:rPr>
          <w:rFonts w:ascii="Arial" w:eastAsia="Arial" w:hAnsi="Arial" w:cs="Arial"/>
          <w:sz w:val="22"/>
          <w:szCs w:val="22"/>
        </w:rPr>
      </w:pPr>
    </w:p>
    <w:p w:rsidR="001333A7" w:rsidRPr="00413D98" w:rsidRDefault="00CC5D42" w:rsidP="00413D98">
      <w:pPr>
        <w:spacing w:line="240" w:lineRule="auto"/>
        <w:ind w:left="0" w:hanging="2"/>
        <w:jc w:val="both"/>
        <w:rPr>
          <w:rFonts w:ascii="Arial" w:eastAsia="Arial" w:hAnsi="Arial" w:cs="Arial"/>
          <w:sz w:val="22"/>
          <w:szCs w:val="22"/>
        </w:rPr>
      </w:pPr>
      <w:r w:rsidRPr="00413D98">
        <w:rPr>
          <w:rFonts w:ascii="Arial" w:eastAsia="Arial" w:hAnsi="Arial" w:cs="Arial"/>
          <w:sz w:val="22"/>
          <w:szCs w:val="22"/>
        </w:rPr>
        <w:t>Por lo anteriormente expuesto y fundado esta Comisión Permanente de Hacienda, tiene a bien proponer al pleno del H. Consejo General Universitario los siguientes:</w:t>
      </w:r>
    </w:p>
    <w:p w:rsidR="001333A7" w:rsidRPr="00413D98" w:rsidRDefault="001333A7" w:rsidP="00413D98">
      <w:pPr>
        <w:spacing w:line="240" w:lineRule="auto"/>
        <w:ind w:left="0" w:hanging="2"/>
        <w:jc w:val="both"/>
        <w:rPr>
          <w:rFonts w:ascii="Arial" w:eastAsia="Arial" w:hAnsi="Arial" w:cs="Arial"/>
          <w:sz w:val="22"/>
          <w:szCs w:val="22"/>
        </w:rPr>
      </w:pPr>
    </w:p>
    <w:p w:rsidR="001333A7" w:rsidRPr="00413D98" w:rsidRDefault="001333A7" w:rsidP="00413D98">
      <w:pPr>
        <w:spacing w:line="240" w:lineRule="auto"/>
        <w:ind w:left="0" w:hanging="2"/>
        <w:jc w:val="both"/>
        <w:rPr>
          <w:rFonts w:ascii="Arial" w:eastAsia="Arial" w:hAnsi="Arial" w:cs="Arial"/>
          <w:sz w:val="22"/>
          <w:szCs w:val="22"/>
        </w:rPr>
      </w:pPr>
    </w:p>
    <w:p w:rsidR="001333A7" w:rsidRPr="00413D98" w:rsidRDefault="00CC5D42" w:rsidP="00413D98">
      <w:pPr>
        <w:spacing w:line="240" w:lineRule="auto"/>
        <w:ind w:left="0" w:hanging="2"/>
        <w:jc w:val="center"/>
        <w:rPr>
          <w:rFonts w:ascii="Arial" w:eastAsia="Arial" w:hAnsi="Arial" w:cs="Arial"/>
          <w:b/>
          <w:sz w:val="22"/>
          <w:szCs w:val="22"/>
        </w:rPr>
      </w:pPr>
      <w:r w:rsidRPr="00413D98">
        <w:rPr>
          <w:rFonts w:ascii="Arial" w:eastAsia="Arial" w:hAnsi="Arial" w:cs="Arial"/>
          <w:b/>
          <w:sz w:val="22"/>
          <w:szCs w:val="22"/>
        </w:rPr>
        <w:t>RESOLUTIVOS</w:t>
      </w:r>
    </w:p>
    <w:p w:rsidR="001333A7" w:rsidRPr="00413D98" w:rsidRDefault="001333A7" w:rsidP="00413D98">
      <w:pPr>
        <w:spacing w:line="240" w:lineRule="auto"/>
        <w:ind w:left="0" w:hanging="2"/>
        <w:jc w:val="center"/>
        <w:rPr>
          <w:rFonts w:ascii="Arial" w:eastAsia="Arial" w:hAnsi="Arial" w:cs="Arial"/>
          <w:sz w:val="22"/>
          <w:szCs w:val="22"/>
        </w:rPr>
      </w:pPr>
    </w:p>
    <w:p w:rsidR="00326A99" w:rsidRPr="00413D98" w:rsidRDefault="00326A99" w:rsidP="00413D98">
      <w:pPr>
        <w:spacing w:line="240" w:lineRule="auto"/>
        <w:ind w:left="0" w:hanging="2"/>
        <w:jc w:val="both"/>
        <w:rPr>
          <w:rFonts w:ascii="Arial" w:eastAsia="Arial" w:hAnsi="Arial" w:cs="Arial"/>
          <w:sz w:val="22"/>
          <w:szCs w:val="22"/>
        </w:rPr>
      </w:pPr>
      <w:r w:rsidRPr="00413D98">
        <w:rPr>
          <w:rFonts w:ascii="Arial" w:eastAsia="Arial" w:hAnsi="Arial" w:cs="Arial"/>
          <w:b/>
          <w:sz w:val="22"/>
          <w:szCs w:val="22"/>
        </w:rPr>
        <w:t>Primero.</w:t>
      </w:r>
      <w:r w:rsidRPr="00413D98">
        <w:rPr>
          <w:rFonts w:ascii="Arial" w:eastAsia="Arial" w:hAnsi="Arial" w:cs="Arial"/>
          <w:sz w:val="22"/>
          <w:szCs w:val="22"/>
        </w:rPr>
        <w:t xml:space="preserve"> Se aprueba la </w:t>
      </w:r>
      <w:r w:rsidRPr="00413D98">
        <w:rPr>
          <w:rFonts w:ascii="Arial" w:eastAsia="Arial" w:hAnsi="Arial" w:cs="Arial"/>
          <w:b/>
          <w:sz w:val="22"/>
          <w:szCs w:val="22"/>
        </w:rPr>
        <w:t>desincorporación y donación</w:t>
      </w:r>
      <w:r w:rsidRPr="00413D98">
        <w:rPr>
          <w:rFonts w:ascii="Arial" w:eastAsia="Questrial" w:hAnsi="Arial" w:cs="Arial"/>
          <w:sz w:val="22"/>
          <w:szCs w:val="22"/>
        </w:rPr>
        <w:t xml:space="preserve"> </w:t>
      </w:r>
      <w:r w:rsidRPr="00413D98">
        <w:rPr>
          <w:rFonts w:ascii="Arial" w:eastAsia="Arial" w:hAnsi="Arial" w:cs="Arial"/>
          <w:b/>
          <w:sz w:val="22"/>
          <w:szCs w:val="22"/>
        </w:rPr>
        <w:t xml:space="preserve">de una porción de terreno de 17,130.66 m² </w:t>
      </w:r>
      <w:r w:rsidRPr="00413D98">
        <w:rPr>
          <w:rFonts w:ascii="Arial" w:eastAsia="Arial" w:hAnsi="Arial" w:cs="Arial"/>
          <w:sz w:val="22"/>
          <w:szCs w:val="22"/>
        </w:rPr>
        <w:t xml:space="preserve">(diecisiete mil ciento treinta metros cuadrados con sesenta y seis centímetros), </w:t>
      </w:r>
      <w:r w:rsidRPr="00413D98">
        <w:rPr>
          <w:rFonts w:ascii="Arial" w:eastAsia="Questrial" w:hAnsi="Arial" w:cs="Arial"/>
          <w:sz w:val="22"/>
          <w:szCs w:val="22"/>
        </w:rPr>
        <w:t>propiedad de la Universidad de Guadalajara</w:t>
      </w:r>
      <w:r w:rsidRPr="00413D98">
        <w:rPr>
          <w:rFonts w:ascii="Arial" w:eastAsia="Arial" w:hAnsi="Arial" w:cs="Arial"/>
          <w:sz w:val="22"/>
          <w:szCs w:val="22"/>
        </w:rPr>
        <w:t xml:space="preserve"> al H. Ayuntamiento de Zapopan, la cual será destinada para la construcción de la vialidad denominada “</w:t>
      </w:r>
      <w:r w:rsidRPr="00413D98">
        <w:rPr>
          <w:rFonts w:ascii="Arial" w:eastAsia="Arial" w:hAnsi="Arial" w:cs="Arial"/>
          <w:b/>
          <w:sz w:val="22"/>
          <w:szCs w:val="22"/>
        </w:rPr>
        <w:t>Peri CUCBA</w:t>
      </w:r>
      <w:r w:rsidRPr="00413D98">
        <w:rPr>
          <w:rFonts w:ascii="Arial" w:eastAsia="Arial" w:hAnsi="Arial" w:cs="Arial"/>
          <w:sz w:val="22"/>
          <w:szCs w:val="22"/>
        </w:rPr>
        <w:t xml:space="preserve">”. Dicho terreno se encuentra conformado por: </w:t>
      </w:r>
    </w:p>
    <w:p w:rsidR="00413D98" w:rsidRPr="00413D98" w:rsidRDefault="00413D98" w:rsidP="00413D98">
      <w:pPr>
        <w:spacing w:line="240" w:lineRule="auto"/>
        <w:ind w:left="0" w:hanging="2"/>
        <w:jc w:val="both"/>
        <w:rPr>
          <w:rFonts w:ascii="Arial" w:eastAsia="Arial" w:hAnsi="Arial" w:cs="Arial"/>
          <w:sz w:val="22"/>
          <w:szCs w:val="22"/>
        </w:rPr>
      </w:pPr>
    </w:p>
    <w:p w:rsidR="00326A99" w:rsidRPr="00413D98" w:rsidRDefault="00326A99" w:rsidP="00413D98">
      <w:pPr>
        <w:spacing w:line="240" w:lineRule="auto"/>
        <w:ind w:leftChars="117" w:left="568" w:hangingChars="130" w:hanging="287"/>
        <w:jc w:val="both"/>
        <w:rPr>
          <w:rFonts w:ascii="Arial" w:eastAsia="Arial" w:hAnsi="Arial" w:cs="Arial"/>
          <w:sz w:val="22"/>
          <w:szCs w:val="22"/>
        </w:rPr>
      </w:pPr>
      <w:r w:rsidRPr="00413D98">
        <w:rPr>
          <w:rFonts w:ascii="Arial" w:eastAsia="Arial" w:hAnsi="Arial" w:cs="Arial"/>
          <w:b/>
          <w:sz w:val="22"/>
          <w:szCs w:val="22"/>
        </w:rPr>
        <w:t>a)</w:t>
      </w:r>
      <w:r w:rsidR="00413D98" w:rsidRPr="00413D98">
        <w:rPr>
          <w:rFonts w:ascii="Arial" w:eastAsia="Arial" w:hAnsi="Arial" w:cs="Arial"/>
          <w:b/>
          <w:sz w:val="22"/>
          <w:szCs w:val="22"/>
        </w:rPr>
        <w:tab/>
      </w:r>
      <w:r w:rsidRPr="00413D98">
        <w:rPr>
          <w:rFonts w:ascii="Arial" w:eastAsia="Arial" w:hAnsi="Arial" w:cs="Arial"/>
          <w:sz w:val="22"/>
          <w:szCs w:val="22"/>
        </w:rPr>
        <w:t>3,340.45m</w:t>
      </w:r>
      <w:r w:rsidRPr="00413D98">
        <w:rPr>
          <w:rFonts w:ascii="Arial" w:eastAsia="Arial" w:hAnsi="Arial" w:cs="Arial"/>
          <w:sz w:val="22"/>
          <w:szCs w:val="22"/>
          <w:vertAlign w:val="superscript"/>
        </w:rPr>
        <w:t>2</w:t>
      </w:r>
      <w:r w:rsidRPr="00413D98">
        <w:rPr>
          <w:rFonts w:ascii="Arial" w:eastAsia="Arial" w:hAnsi="Arial" w:cs="Arial"/>
          <w:sz w:val="22"/>
          <w:szCs w:val="22"/>
        </w:rPr>
        <w:t xml:space="preserve">, superficie afectada del polígono de la escritura pública número 2178 y, </w:t>
      </w:r>
    </w:p>
    <w:p w:rsidR="00326A99" w:rsidRPr="00413D98" w:rsidRDefault="00326A99" w:rsidP="00413D98">
      <w:pPr>
        <w:spacing w:line="240" w:lineRule="auto"/>
        <w:ind w:leftChars="117" w:left="568" w:hangingChars="130" w:hanging="287"/>
        <w:jc w:val="both"/>
        <w:rPr>
          <w:rFonts w:ascii="Arial" w:eastAsia="Arial" w:hAnsi="Arial" w:cs="Arial"/>
          <w:sz w:val="22"/>
          <w:szCs w:val="22"/>
        </w:rPr>
      </w:pPr>
      <w:r w:rsidRPr="00413D98">
        <w:rPr>
          <w:rFonts w:ascii="Arial" w:eastAsia="Arial" w:hAnsi="Arial" w:cs="Arial"/>
          <w:b/>
          <w:sz w:val="22"/>
          <w:szCs w:val="22"/>
        </w:rPr>
        <w:t>b)</w:t>
      </w:r>
      <w:r w:rsidR="00413D98" w:rsidRPr="00413D98">
        <w:rPr>
          <w:rFonts w:ascii="Arial" w:eastAsia="Arial" w:hAnsi="Arial" w:cs="Arial"/>
          <w:b/>
          <w:sz w:val="22"/>
          <w:szCs w:val="22"/>
        </w:rPr>
        <w:tab/>
      </w:r>
      <w:r w:rsidRPr="00413D98">
        <w:rPr>
          <w:rFonts w:ascii="Arial" w:eastAsia="Arial" w:hAnsi="Arial" w:cs="Arial"/>
          <w:sz w:val="22"/>
          <w:szCs w:val="22"/>
        </w:rPr>
        <w:t>13,790.21m</w:t>
      </w:r>
      <w:r w:rsidRPr="00413D98">
        <w:rPr>
          <w:rFonts w:ascii="Arial" w:eastAsia="Arial" w:hAnsi="Arial" w:cs="Arial"/>
          <w:sz w:val="22"/>
          <w:szCs w:val="22"/>
          <w:vertAlign w:val="superscript"/>
        </w:rPr>
        <w:t>2</w:t>
      </w:r>
      <w:r w:rsidRPr="00413D98">
        <w:rPr>
          <w:rFonts w:ascii="Arial" w:eastAsia="Arial" w:hAnsi="Arial" w:cs="Arial"/>
          <w:sz w:val="22"/>
          <w:szCs w:val="22"/>
        </w:rPr>
        <w:t xml:space="preserve"> superficie afectada del polígono 1 de la escritura pública número 10,655.</w:t>
      </w:r>
    </w:p>
    <w:p w:rsidR="00326A99" w:rsidRPr="00413D98" w:rsidRDefault="00326A99" w:rsidP="00413D98">
      <w:pPr>
        <w:spacing w:line="240" w:lineRule="auto"/>
        <w:ind w:left="0" w:hanging="2"/>
        <w:jc w:val="both"/>
        <w:rPr>
          <w:rFonts w:ascii="Arial" w:eastAsia="Arial" w:hAnsi="Arial" w:cs="Arial"/>
          <w:sz w:val="22"/>
          <w:szCs w:val="22"/>
        </w:rPr>
      </w:pPr>
    </w:p>
    <w:p w:rsidR="001333A7" w:rsidRPr="00413D98" w:rsidRDefault="00CC5D42" w:rsidP="00413D98">
      <w:pPr>
        <w:spacing w:line="240" w:lineRule="auto"/>
        <w:ind w:left="0" w:hanging="2"/>
        <w:jc w:val="both"/>
        <w:rPr>
          <w:rFonts w:ascii="Arial" w:eastAsia="Arial" w:hAnsi="Arial" w:cs="Arial"/>
          <w:sz w:val="22"/>
          <w:szCs w:val="22"/>
        </w:rPr>
      </w:pPr>
      <w:r w:rsidRPr="00413D98">
        <w:rPr>
          <w:rFonts w:ascii="Arial" w:eastAsia="Arial" w:hAnsi="Arial" w:cs="Arial"/>
          <w:sz w:val="22"/>
          <w:szCs w:val="22"/>
        </w:rPr>
        <w:t xml:space="preserve">Las medidas y linderos de la superficie que se aprueba sea desincorporada del patrimonio universitario y donado al Ayuntamiento de Zapopan, se encuentran </w:t>
      </w:r>
      <w:proofErr w:type="spellStart"/>
      <w:r w:rsidRPr="00413D98">
        <w:rPr>
          <w:rFonts w:ascii="Arial" w:eastAsia="Arial" w:hAnsi="Arial" w:cs="Arial"/>
          <w:sz w:val="22"/>
          <w:szCs w:val="22"/>
        </w:rPr>
        <w:t>georeferenciados</w:t>
      </w:r>
      <w:proofErr w:type="spellEnd"/>
      <w:r w:rsidRPr="00413D98">
        <w:rPr>
          <w:rFonts w:ascii="Arial" w:eastAsia="Arial" w:hAnsi="Arial" w:cs="Arial"/>
          <w:sz w:val="22"/>
          <w:szCs w:val="22"/>
        </w:rPr>
        <w:t xml:space="preserve"> en el Anexo 1 del presente Dictamen, y su valor comercial es de $24,668,150.00 (veinticuatro millones seiscientos sesenta y ocho mil ciento cincuenta pesos 00/100 M.N.). </w:t>
      </w:r>
    </w:p>
    <w:p w:rsidR="00413D98" w:rsidRDefault="00413D98" w:rsidP="00413D98">
      <w:pPr>
        <w:spacing w:line="240" w:lineRule="auto"/>
        <w:ind w:left="0" w:hanging="2"/>
        <w:jc w:val="both"/>
        <w:rPr>
          <w:rFonts w:ascii="Arial" w:eastAsia="Arial" w:hAnsi="Arial" w:cs="Arial"/>
          <w:b/>
          <w:sz w:val="22"/>
          <w:szCs w:val="22"/>
        </w:rPr>
      </w:pPr>
    </w:p>
    <w:p w:rsidR="001333A7" w:rsidRPr="00413D98" w:rsidRDefault="00CC5D42" w:rsidP="00413D98">
      <w:pPr>
        <w:spacing w:line="240" w:lineRule="auto"/>
        <w:ind w:left="0" w:hanging="2"/>
        <w:jc w:val="both"/>
        <w:rPr>
          <w:rFonts w:ascii="Arial" w:eastAsia="Arial" w:hAnsi="Arial" w:cs="Arial"/>
          <w:sz w:val="22"/>
          <w:szCs w:val="22"/>
        </w:rPr>
      </w:pPr>
      <w:r w:rsidRPr="00413D98">
        <w:rPr>
          <w:rFonts w:ascii="Arial" w:eastAsia="Arial" w:hAnsi="Arial" w:cs="Arial"/>
          <w:b/>
          <w:sz w:val="22"/>
          <w:szCs w:val="22"/>
        </w:rPr>
        <w:lastRenderedPageBreak/>
        <w:t>Segundo.</w:t>
      </w:r>
      <w:r w:rsidRPr="00413D98">
        <w:rPr>
          <w:rFonts w:ascii="Arial" w:eastAsia="Arial" w:hAnsi="Arial" w:cs="Arial"/>
          <w:sz w:val="22"/>
          <w:szCs w:val="22"/>
        </w:rPr>
        <w:t xml:space="preserve"> Se faculta al Rector General de la Universidad de Guadalajara para que, por su conducto o a través del apoderado que autorice, realice la inscripción del presente Dictamen en el Registro Público de la Propiedad y celebre el contrato de donación correspondiente. </w:t>
      </w:r>
    </w:p>
    <w:p w:rsidR="001333A7" w:rsidRPr="00413D98" w:rsidRDefault="001333A7" w:rsidP="00413D98">
      <w:pPr>
        <w:spacing w:line="240" w:lineRule="auto"/>
        <w:ind w:left="0" w:hanging="2"/>
        <w:jc w:val="both"/>
        <w:rPr>
          <w:rFonts w:ascii="Arial" w:eastAsia="Arial" w:hAnsi="Arial" w:cs="Arial"/>
          <w:sz w:val="22"/>
          <w:szCs w:val="22"/>
        </w:rPr>
      </w:pPr>
    </w:p>
    <w:p w:rsidR="001333A7" w:rsidRPr="00413D98" w:rsidRDefault="00CC5D42" w:rsidP="00413D98">
      <w:pPr>
        <w:pBdr>
          <w:top w:val="nil"/>
          <w:left w:val="nil"/>
          <w:bottom w:val="nil"/>
          <w:right w:val="nil"/>
          <w:between w:val="nil"/>
        </w:pBdr>
        <w:spacing w:line="240" w:lineRule="auto"/>
        <w:ind w:left="0" w:hanging="2"/>
        <w:jc w:val="both"/>
        <w:rPr>
          <w:rFonts w:ascii="Arial" w:eastAsia="Arial" w:hAnsi="Arial" w:cs="Arial"/>
          <w:sz w:val="22"/>
          <w:szCs w:val="22"/>
        </w:rPr>
      </w:pPr>
      <w:r w:rsidRPr="00413D98">
        <w:rPr>
          <w:rFonts w:ascii="Arial" w:eastAsia="Arial" w:hAnsi="Arial" w:cs="Arial"/>
          <w:b/>
          <w:sz w:val="22"/>
          <w:szCs w:val="22"/>
        </w:rPr>
        <w:t xml:space="preserve">Tercero. </w:t>
      </w:r>
      <w:r w:rsidRPr="00413D98">
        <w:rPr>
          <w:rFonts w:ascii="Arial" w:eastAsia="Arial" w:hAnsi="Arial" w:cs="Arial"/>
          <w:sz w:val="22"/>
          <w:szCs w:val="22"/>
        </w:rPr>
        <w:t xml:space="preserve">Ejecútese el presente Dictamen, de conformidad con lo dispuesto en la fracción II, del artículo 35 de la Ley Orgánica. </w:t>
      </w:r>
    </w:p>
    <w:p w:rsidR="001333A7" w:rsidRPr="00413D98" w:rsidRDefault="001333A7" w:rsidP="00413D98">
      <w:pPr>
        <w:spacing w:line="240" w:lineRule="auto"/>
        <w:ind w:left="0" w:hanging="2"/>
        <w:jc w:val="both"/>
        <w:rPr>
          <w:rFonts w:ascii="Arial" w:eastAsia="Arial" w:hAnsi="Arial" w:cs="Arial"/>
          <w:sz w:val="22"/>
          <w:szCs w:val="22"/>
        </w:rPr>
      </w:pPr>
    </w:p>
    <w:p w:rsidR="001333A7" w:rsidRPr="00413D98" w:rsidRDefault="001333A7" w:rsidP="00413D98">
      <w:pPr>
        <w:spacing w:line="240" w:lineRule="auto"/>
        <w:ind w:left="0" w:hanging="2"/>
        <w:jc w:val="both"/>
        <w:rPr>
          <w:rFonts w:ascii="Arial" w:eastAsia="Arial" w:hAnsi="Arial" w:cs="Arial"/>
          <w:sz w:val="22"/>
          <w:szCs w:val="22"/>
        </w:rPr>
      </w:pPr>
    </w:p>
    <w:p w:rsidR="001333A7" w:rsidRPr="00413D98" w:rsidRDefault="00CC5D42" w:rsidP="00413D98">
      <w:pPr>
        <w:spacing w:line="240" w:lineRule="auto"/>
        <w:ind w:left="0" w:hanging="2"/>
        <w:jc w:val="center"/>
        <w:rPr>
          <w:rFonts w:ascii="Arial" w:eastAsia="Arial" w:hAnsi="Arial" w:cs="Arial"/>
          <w:sz w:val="22"/>
          <w:szCs w:val="22"/>
        </w:rPr>
      </w:pPr>
      <w:r w:rsidRPr="00413D98">
        <w:rPr>
          <w:rFonts w:ascii="Arial" w:eastAsia="Arial" w:hAnsi="Arial" w:cs="Arial"/>
          <w:sz w:val="22"/>
          <w:szCs w:val="22"/>
        </w:rPr>
        <w:t>Atentamente</w:t>
      </w:r>
    </w:p>
    <w:p w:rsidR="001333A7" w:rsidRPr="00413D98" w:rsidRDefault="00CC5D42" w:rsidP="00413D98">
      <w:pPr>
        <w:spacing w:line="240" w:lineRule="auto"/>
        <w:ind w:left="0" w:hanging="2"/>
        <w:jc w:val="center"/>
        <w:rPr>
          <w:rFonts w:ascii="Arial" w:eastAsia="Arial" w:hAnsi="Arial" w:cs="Arial"/>
          <w:b/>
          <w:sz w:val="22"/>
          <w:szCs w:val="22"/>
        </w:rPr>
      </w:pPr>
      <w:r w:rsidRPr="00413D98">
        <w:rPr>
          <w:rFonts w:ascii="Arial" w:eastAsia="Arial" w:hAnsi="Arial" w:cs="Arial"/>
          <w:b/>
          <w:sz w:val="22"/>
          <w:szCs w:val="22"/>
        </w:rPr>
        <w:t>“Piensa y Trabaja”</w:t>
      </w:r>
    </w:p>
    <w:p w:rsidR="001333A7" w:rsidRPr="00097117" w:rsidRDefault="00CC5D42" w:rsidP="00413D98">
      <w:pPr>
        <w:spacing w:line="240" w:lineRule="auto"/>
        <w:ind w:left="0" w:hanging="2"/>
        <w:jc w:val="center"/>
        <w:rPr>
          <w:rFonts w:ascii="Arial" w:eastAsia="Arial" w:hAnsi="Arial" w:cs="Arial"/>
          <w:b/>
          <w:i/>
          <w:sz w:val="22"/>
          <w:szCs w:val="22"/>
        </w:rPr>
      </w:pPr>
      <w:r w:rsidRPr="00097117">
        <w:rPr>
          <w:rFonts w:ascii="Arial" w:eastAsia="Arial" w:hAnsi="Arial" w:cs="Arial"/>
          <w:b/>
          <w:i/>
          <w:sz w:val="22"/>
          <w:szCs w:val="22"/>
        </w:rPr>
        <w:t>“2023, Año del fomento a la formación integral con una Red de Centros</w:t>
      </w:r>
    </w:p>
    <w:p w:rsidR="001333A7" w:rsidRPr="00097117" w:rsidRDefault="00CC5D42" w:rsidP="00413D98">
      <w:pPr>
        <w:spacing w:line="240" w:lineRule="auto"/>
        <w:ind w:left="0" w:hanging="2"/>
        <w:jc w:val="center"/>
        <w:rPr>
          <w:rFonts w:ascii="Arial" w:eastAsia="Arial" w:hAnsi="Arial" w:cs="Arial"/>
          <w:b/>
          <w:i/>
          <w:sz w:val="22"/>
          <w:szCs w:val="22"/>
        </w:rPr>
      </w:pPr>
      <w:r w:rsidRPr="00097117">
        <w:rPr>
          <w:rFonts w:ascii="Arial" w:eastAsia="Arial" w:hAnsi="Arial" w:cs="Arial"/>
          <w:b/>
          <w:i/>
          <w:sz w:val="22"/>
          <w:szCs w:val="22"/>
        </w:rPr>
        <w:t>y Sistemas Multitemáticos”</w:t>
      </w:r>
    </w:p>
    <w:p w:rsidR="001333A7" w:rsidRPr="00413D98" w:rsidRDefault="00CC5D42" w:rsidP="00413D98">
      <w:pPr>
        <w:spacing w:line="240" w:lineRule="auto"/>
        <w:ind w:left="0" w:hanging="2"/>
        <w:jc w:val="center"/>
        <w:rPr>
          <w:rFonts w:ascii="Arial" w:eastAsia="Arial" w:hAnsi="Arial" w:cs="Arial"/>
          <w:sz w:val="22"/>
          <w:szCs w:val="22"/>
        </w:rPr>
      </w:pPr>
      <w:r w:rsidRPr="00413D98">
        <w:rPr>
          <w:rFonts w:ascii="Arial" w:eastAsia="Arial" w:hAnsi="Arial" w:cs="Arial"/>
          <w:sz w:val="22"/>
          <w:szCs w:val="22"/>
        </w:rPr>
        <w:t>Guadalajara, Jalisco, 07 de julio de 2023.</w:t>
      </w:r>
    </w:p>
    <w:p w:rsidR="001333A7" w:rsidRPr="00413D98" w:rsidRDefault="00CC5D42" w:rsidP="00413D98">
      <w:pPr>
        <w:spacing w:line="240" w:lineRule="auto"/>
        <w:ind w:left="0" w:hanging="2"/>
        <w:jc w:val="center"/>
        <w:rPr>
          <w:rFonts w:ascii="Arial" w:eastAsia="Arial" w:hAnsi="Arial" w:cs="Arial"/>
          <w:sz w:val="22"/>
          <w:szCs w:val="22"/>
        </w:rPr>
      </w:pPr>
      <w:r w:rsidRPr="00413D98">
        <w:rPr>
          <w:rFonts w:ascii="Arial" w:eastAsia="Arial" w:hAnsi="Arial" w:cs="Arial"/>
          <w:sz w:val="22"/>
          <w:szCs w:val="22"/>
        </w:rPr>
        <w:t xml:space="preserve">Comisión Permanente de Hacienda </w:t>
      </w:r>
    </w:p>
    <w:p w:rsidR="001333A7" w:rsidRPr="00413D98" w:rsidRDefault="001333A7" w:rsidP="00413D98">
      <w:pPr>
        <w:spacing w:line="240" w:lineRule="auto"/>
        <w:ind w:left="0" w:hanging="2"/>
        <w:rPr>
          <w:rFonts w:ascii="Arial" w:eastAsia="Arial" w:hAnsi="Arial" w:cs="Arial"/>
          <w:sz w:val="22"/>
          <w:szCs w:val="22"/>
        </w:rPr>
      </w:pPr>
    </w:p>
    <w:p w:rsidR="001333A7" w:rsidRDefault="001333A7" w:rsidP="00413D98">
      <w:pPr>
        <w:spacing w:line="240" w:lineRule="auto"/>
        <w:ind w:left="0" w:hanging="2"/>
        <w:rPr>
          <w:rFonts w:ascii="Arial" w:eastAsia="Arial" w:hAnsi="Arial" w:cs="Arial"/>
          <w:sz w:val="22"/>
          <w:szCs w:val="22"/>
        </w:rPr>
      </w:pPr>
    </w:p>
    <w:p w:rsidR="00CC38CA" w:rsidRDefault="00CC38CA" w:rsidP="00413D98">
      <w:pPr>
        <w:spacing w:line="240" w:lineRule="auto"/>
        <w:ind w:left="0" w:hanging="2"/>
        <w:rPr>
          <w:rFonts w:ascii="Arial" w:eastAsia="Arial" w:hAnsi="Arial" w:cs="Arial"/>
          <w:sz w:val="22"/>
          <w:szCs w:val="22"/>
        </w:rPr>
      </w:pPr>
    </w:p>
    <w:p w:rsidR="00097117" w:rsidRPr="00413D98" w:rsidRDefault="00097117" w:rsidP="00413D98">
      <w:pPr>
        <w:spacing w:line="240" w:lineRule="auto"/>
        <w:ind w:left="0" w:hanging="2"/>
        <w:rPr>
          <w:rFonts w:ascii="Arial" w:eastAsia="Arial" w:hAnsi="Arial" w:cs="Arial"/>
          <w:sz w:val="22"/>
          <w:szCs w:val="22"/>
        </w:rPr>
      </w:pPr>
    </w:p>
    <w:p w:rsidR="001333A7" w:rsidRPr="00097117" w:rsidRDefault="00CC5D42" w:rsidP="00413D98">
      <w:pPr>
        <w:spacing w:line="240" w:lineRule="auto"/>
        <w:ind w:left="0" w:right="-22" w:hanging="2"/>
        <w:jc w:val="center"/>
        <w:rPr>
          <w:rFonts w:ascii="Arial Black" w:eastAsia="Arial" w:hAnsi="Arial Black" w:cs="Arial"/>
          <w:sz w:val="22"/>
          <w:szCs w:val="22"/>
        </w:rPr>
      </w:pPr>
      <w:r w:rsidRPr="00097117">
        <w:rPr>
          <w:rFonts w:ascii="Arial Black" w:eastAsia="Arial" w:hAnsi="Arial Black" w:cs="Arial"/>
          <w:sz w:val="22"/>
          <w:szCs w:val="22"/>
        </w:rPr>
        <w:t xml:space="preserve">Dr. Ricardo Villanueva Lomelí </w:t>
      </w:r>
    </w:p>
    <w:p w:rsidR="001333A7" w:rsidRPr="00413D98" w:rsidRDefault="00CC5D42" w:rsidP="00413D98">
      <w:pPr>
        <w:spacing w:line="240" w:lineRule="auto"/>
        <w:ind w:left="0" w:hanging="2"/>
        <w:jc w:val="center"/>
        <w:rPr>
          <w:rFonts w:ascii="Arial" w:eastAsia="Arial" w:hAnsi="Arial" w:cs="Arial"/>
          <w:sz w:val="22"/>
          <w:szCs w:val="22"/>
        </w:rPr>
      </w:pPr>
      <w:r w:rsidRPr="00413D98">
        <w:rPr>
          <w:rFonts w:ascii="Arial" w:eastAsia="Arial" w:hAnsi="Arial" w:cs="Arial"/>
          <w:sz w:val="22"/>
          <w:szCs w:val="22"/>
        </w:rPr>
        <w:t>Presidente</w:t>
      </w:r>
    </w:p>
    <w:p w:rsidR="001333A7" w:rsidRDefault="001333A7" w:rsidP="00413D98">
      <w:pPr>
        <w:spacing w:line="240" w:lineRule="auto"/>
        <w:ind w:leftChars="0" w:left="0" w:firstLineChars="0" w:firstLine="0"/>
        <w:rPr>
          <w:rFonts w:ascii="Arial" w:eastAsia="Arial" w:hAnsi="Arial" w:cs="Arial"/>
          <w:sz w:val="22"/>
          <w:szCs w:val="22"/>
        </w:rPr>
      </w:pPr>
    </w:p>
    <w:p w:rsidR="00413D98" w:rsidRDefault="00413D98" w:rsidP="00413D98">
      <w:pPr>
        <w:spacing w:line="240" w:lineRule="auto"/>
        <w:ind w:leftChars="0" w:left="0" w:firstLineChars="0" w:firstLine="0"/>
        <w:rPr>
          <w:rFonts w:ascii="Arial" w:eastAsia="Arial" w:hAnsi="Arial" w:cs="Arial"/>
          <w:sz w:val="22"/>
          <w:szCs w:val="22"/>
        </w:rPr>
      </w:pPr>
    </w:p>
    <w:p w:rsidR="001A4881" w:rsidRPr="00413D98" w:rsidRDefault="001A4881" w:rsidP="00413D98">
      <w:pPr>
        <w:spacing w:line="240" w:lineRule="auto"/>
        <w:ind w:leftChars="0" w:left="0" w:firstLineChars="0" w:firstLine="0"/>
        <w:rPr>
          <w:rFonts w:ascii="Arial" w:eastAsia="Arial" w:hAnsi="Arial" w:cs="Arial"/>
          <w:sz w:val="22"/>
          <w:szCs w:val="22"/>
        </w:rPr>
      </w:pPr>
    </w:p>
    <w:p w:rsidR="001333A7" w:rsidRPr="00413D98" w:rsidRDefault="001333A7" w:rsidP="00413D98">
      <w:pPr>
        <w:spacing w:line="240" w:lineRule="auto"/>
        <w:ind w:left="0" w:hanging="2"/>
        <w:jc w:val="center"/>
        <w:rPr>
          <w:rFonts w:ascii="Arial" w:eastAsia="Arial" w:hAnsi="Arial" w:cs="Arial"/>
          <w:sz w:val="22"/>
          <w:szCs w:val="22"/>
        </w:rPr>
      </w:pPr>
    </w:p>
    <w:tbl>
      <w:tblPr>
        <w:tblStyle w:val="a1"/>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55"/>
        <w:gridCol w:w="4455"/>
      </w:tblGrid>
      <w:tr w:rsidR="001333A7" w:rsidRPr="00413D98">
        <w:trPr>
          <w:trHeight w:val="1290"/>
        </w:trPr>
        <w:tc>
          <w:tcPr>
            <w:tcW w:w="4455" w:type="dxa"/>
            <w:tcBorders>
              <w:top w:val="nil"/>
              <w:left w:val="nil"/>
              <w:bottom w:val="nil"/>
              <w:right w:val="nil"/>
            </w:tcBorders>
            <w:tcMar>
              <w:top w:w="0" w:type="dxa"/>
              <w:left w:w="100" w:type="dxa"/>
              <w:bottom w:w="0" w:type="dxa"/>
              <w:right w:w="100" w:type="dxa"/>
            </w:tcMar>
          </w:tcPr>
          <w:p w:rsidR="001333A7" w:rsidRPr="00413D98" w:rsidRDefault="00CC5D42" w:rsidP="00413D98">
            <w:pPr>
              <w:spacing w:line="240" w:lineRule="auto"/>
              <w:ind w:left="0" w:hanging="2"/>
              <w:jc w:val="center"/>
              <w:rPr>
                <w:rFonts w:ascii="Arial" w:eastAsia="Arial" w:hAnsi="Arial" w:cs="Arial"/>
                <w:sz w:val="22"/>
                <w:szCs w:val="22"/>
              </w:rPr>
            </w:pPr>
            <w:r w:rsidRPr="00413D98">
              <w:rPr>
                <w:rFonts w:ascii="Arial" w:eastAsia="Arial" w:hAnsi="Arial" w:cs="Arial"/>
                <w:sz w:val="22"/>
                <w:szCs w:val="22"/>
              </w:rPr>
              <w:t>Dra. Irma Leticia Leal Moya</w:t>
            </w:r>
          </w:p>
          <w:p w:rsidR="001333A7" w:rsidRDefault="00CC5D42" w:rsidP="00413D98">
            <w:pPr>
              <w:spacing w:line="240" w:lineRule="auto"/>
              <w:ind w:left="0" w:hanging="2"/>
              <w:jc w:val="center"/>
              <w:rPr>
                <w:rFonts w:ascii="Arial" w:eastAsia="Arial" w:hAnsi="Arial" w:cs="Arial"/>
                <w:sz w:val="22"/>
                <w:szCs w:val="22"/>
              </w:rPr>
            </w:pPr>
            <w:r w:rsidRPr="00413D98">
              <w:rPr>
                <w:rFonts w:ascii="Arial" w:eastAsia="Arial" w:hAnsi="Arial" w:cs="Arial"/>
                <w:sz w:val="22"/>
                <w:szCs w:val="22"/>
              </w:rPr>
              <w:t xml:space="preserve"> </w:t>
            </w:r>
          </w:p>
          <w:p w:rsidR="001A4881" w:rsidRDefault="001A4881" w:rsidP="00413D98">
            <w:pPr>
              <w:spacing w:line="240" w:lineRule="auto"/>
              <w:ind w:left="0" w:hanging="2"/>
              <w:jc w:val="center"/>
              <w:rPr>
                <w:rFonts w:ascii="Arial" w:eastAsia="Arial" w:hAnsi="Arial" w:cs="Arial"/>
                <w:sz w:val="22"/>
                <w:szCs w:val="22"/>
              </w:rPr>
            </w:pPr>
          </w:p>
          <w:p w:rsidR="001A4881" w:rsidRDefault="001A4881" w:rsidP="00413D98">
            <w:pPr>
              <w:spacing w:line="240" w:lineRule="auto"/>
              <w:ind w:left="0" w:hanging="2"/>
              <w:jc w:val="center"/>
              <w:rPr>
                <w:rFonts w:ascii="Arial" w:eastAsia="Arial" w:hAnsi="Arial" w:cs="Arial"/>
                <w:sz w:val="22"/>
                <w:szCs w:val="22"/>
              </w:rPr>
            </w:pPr>
          </w:p>
          <w:p w:rsidR="001A4881" w:rsidRDefault="001A4881" w:rsidP="00413D98">
            <w:pPr>
              <w:spacing w:line="240" w:lineRule="auto"/>
              <w:ind w:left="0" w:hanging="2"/>
              <w:jc w:val="center"/>
              <w:rPr>
                <w:rFonts w:ascii="Arial" w:eastAsia="Arial" w:hAnsi="Arial" w:cs="Arial"/>
                <w:sz w:val="22"/>
                <w:szCs w:val="22"/>
              </w:rPr>
            </w:pPr>
          </w:p>
          <w:p w:rsidR="001A4881" w:rsidRPr="00413D98" w:rsidRDefault="001A4881" w:rsidP="00413D98">
            <w:pPr>
              <w:spacing w:line="240" w:lineRule="auto"/>
              <w:ind w:left="0" w:hanging="2"/>
              <w:jc w:val="center"/>
              <w:rPr>
                <w:rFonts w:ascii="Arial" w:eastAsia="Arial" w:hAnsi="Arial" w:cs="Arial"/>
                <w:sz w:val="22"/>
                <w:szCs w:val="22"/>
              </w:rPr>
            </w:pPr>
          </w:p>
        </w:tc>
        <w:tc>
          <w:tcPr>
            <w:tcW w:w="4455" w:type="dxa"/>
            <w:tcBorders>
              <w:top w:val="nil"/>
              <w:left w:val="nil"/>
              <w:bottom w:val="nil"/>
              <w:right w:val="nil"/>
            </w:tcBorders>
            <w:tcMar>
              <w:top w:w="0" w:type="dxa"/>
              <w:left w:w="100" w:type="dxa"/>
              <w:bottom w:w="0" w:type="dxa"/>
              <w:right w:w="100" w:type="dxa"/>
            </w:tcMar>
          </w:tcPr>
          <w:p w:rsidR="001333A7" w:rsidRPr="00413D98" w:rsidRDefault="00CC5D42" w:rsidP="00413D98">
            <w:pPr>
              <w:spacing w:line="240" w:lineRule="auto"/>
              <w:ind w:left="0" w:hanging="2"/>
              <w:jc w:val="center"/>
              <w:rPr>
                <w:rFonts w:ascii="Arial" w:eastAsia="Arial" w:hAnsi="Arial" w:cs="Arial"/>
                <w:sz w:val="22"/>
                <w:szCs w:val="22"/>
              </w:rPr>
            </w:pPr>
            <w:r w:rsidRPr="00413D98">
              <w:rPr>
                <w:rFonts w:ascii="Arial" w:eastAsia="Arial" w:hAnsi="Arial" w:cs="Arial"/>
                <w:sz w:val="22"/>
                <w:szCs w:val="22"/>
              </w:rPr>
              <w:t>Mtro. Luis Gustavo Padilla Montes</w:t>
            </w:r>
          </w:p>
          <w:p w:rsidR="001A4881" w:rsidRDefault="001A4881" w:rsidP="00413D98">
            <w:pPr>
              <w:spacing w:line="240" w:lineRule="auto"/>
              <w:ind w:left="0" w:hanging="2"/>
              <w:jc w:val="center"/>
              <w:rPr>
                <w:rFonts w:ascii="Arial" w:eastAsia="Arial" w:hAnsi="Arial" w:cs="Arial"/>
                <w:sz w:val="22"/>
                <w:szCs w:val="22"/>
              </w:rPr>
            </w:pPr>
          </w:p>
          <w:p w:rsidR="001A4881" w:rsidRDefault="001A4881" w:rsidP="00413D98">
            <w:pPr>
              <w:spacing w:line="240" w:lineRule="auto"/>
              <w:ind w:left="0" w:hanging="2"/>
              <w:jc w:val="center"/>
              <w:rPr>
                <w:rFonts w:ascii="Arial" w:eastAsia="Arial" w:hAnsi="Arial" w:cs="Arial"/>
                <w:sz w:val="22"/>
                <w:szCs w:val="22"/>
              </w:rPr>
            </w:pPr>
          </w:p>
          <w:p w:rsidR="001333A7" w:rsidRPr="00413D98" w:rsidRDefault="00CC5D42" w:rsidP="00413D98">
            <w:pPr>
              <w:spacing w:line="240" w:lineRule="auto"/>
              <w:ind w:left="0" w:hanging="2"/>
              <w:jc w:val="center"/>
              <w:rPr>
                <w:rFonts w:ascii="Arial" w:eastAsia="Arial" w:hAnsi="Arial" w:cs="Arial"/>
                <w:sz w:val="22"/>
                <w:szCs w:val="22"/>
              </w:rPr>
            </w:pPr>
            <w:r w:rsidRPr="00413D98">
              <w:rPr>
                <w:rFonts w:ascii="Arial" w:eastAsia="Arial" w:hAnsi="Arial" w:cs="Arial"/>
                <w:sz w:val="22"/>
                <w:szCs w:val="22"/>
              </w:rPr>
              <w:t xml:space="preserve"> </w:t>
            </w:r>
          </w:p>
        </w:tc>
      </w:tr>
      <w:tr w:rsidR="001333A7" w:rsidRPr="00413D98">
        <w:trPr>
          <w:trHeight w:val="1061"/>
        </w:trPr>
        <w:tc>
          <w:tcPr>
            <w:tcW w:w="4455" w:type="dxa"/>
            <w:tcBorders>
              <w:top w:val="nil"/>
              <w:left w:val="nil"/>
              <w:bottom w:val="nil"/>
              <w:right w:val="nil"/>
            </w:tcBorders>
            <w:tcMar>
              <w:top w:w="0" w:type="dxa"/>
              <w:left w:w="100" w:type="dxa"/>
              <w:bottom w:w="0" w:type="dxa"/>
              <w:right w:w="100" w:type="dxa"/>
            </w:tcMar>
          </w:tcPr>
          <w:p w:rsidR="001333A7" w:rsidRPr="00413D98" w:rsidRDefault="00CC2C2A" w:rsidP="00413D98">
            <w:pPr>
              <w:spacing w:line="240" w:lineRule="auto"/>
              <w:ind w:left="0" w:hanging="2"/>
              <w:jc w:val="center"/>
              <w:rPr>
                <w:rFonts w:ascii="Arial" w:eastAsia="Arial" w:hAnsi="Arial" w:cs="Arial"/>
                <w:sz w:val="22"/>
                <w:szCs w:val="22"/>
              </w:rPr>
            </w:pPr>
            <w:r>
              <w:rPr>
                <w:rFonts w:ascii="Arial" w:eastAsia="Arial" w:hAnsi="Arial" w:cs="Arial"/>
                <w:sz w:val="22"/>
                <w:szCs w:val="22"/>
              </w:rPr>
              <w:t>Lic</w:t>
            </w:r>
            <w:r w:rsidR="00CC5D42" w:rsidRPr="00413D98">
              <w:rPr>
                <w:rFonts w:ascii="Arial" w:eastAsia="Arial" w:hAnsi="Arial" w:cs="Arial"/>
                <w:sz w:val="22"/>
                <w:szCs w:val="22"/>
              </w:rPr>
              <w:t>. Jesús Palafox Yáñez</w:t>
            </w:r>
          </w:p>
        </w:tc>
        <w:tc>
          <w:tcPr>
            <w:tcW w:w="4455" w:type="dxa"/>
            <w:tcBorders>
              <w:top w:val="nil"/>
              <w:left w:val="nil"/>
              <w:bottom w:val="nil"/>
              <w:right w:val="nil"/>
            </w:tcBorders>
            <w:tcMar>
              <w:top w:w="0" w:type="dxa"/>
              <w:left w:w="100" w:type="dxa"/>
              <w:bottom w:w="0" w:type="dxa"/>
              <w:right w:w="100" w:type="dxa"/>
            </w:tcMar>
          </w:tcPr>
          <w:p w:rsidR="001333A7" w:rsidRPr="00413D98" w:rsidRDefault="00CC5D42" w:rsidP="00413D98">
            <w:pPr>
              <w:spacing w:line="240" w:lineRule="auto"/>
              <w:ind w:left="0" w:hanging="2"/>
              <w:jc w:val="center"/>
              <w:rPr>
                <w:rFonts w:ascii="Arial" w:eastAsia="Arial" w:hAnsi="Arial" w:cs="Arial"/>
                <w:sz w:val="22"/>
                <w:szCs w:val="22"/>
              </w:rPr>
            </w:pPr>
            <w:r w:rsidRPr="00413D98">
              <w:rPr>
                <w:rFonts w:ascii="Arial" w:eastAsia="Arial" w:hAnsi="Arial" w:cs="Arial"/>
                <w:sz w:val="22"/>
                <w:szCs w:val="22"/>
              </w:rPr>
              <w:t>C. Zoé Elizabeth García Romero</w:t>
            </w:r>
          </w:p>
        </w:tc>
      </w:tr>
    </w:tbl>
    <w:p w:rsidR="001333A7" w:rsidRPr="00413D98" w:rsidRDefault="001333A7" w:rsidP="00413D98">
      <w:pPr>
        <w:spacing w:line="240" w:lineRule="auto"/>
        <w:ind w:left="0" w:hanging="2"/>
        <w:rPr>
          <w:rFonts w:ascii="Arial" w:eastAsia="Arial" w:hAnsi="Arial" w:cs="Arial"/>
          <w:sz w:val="22"/>
          <w:szCs w:val="22"/>
        </w:rPr>
      </w:pPr>
    </w:p>
    <w:p w:rsidR="001333A7" w:rsidRPr="00413D98" w:rsidRDefault="001333A7" w:rsidP="00413D98">
      <w:pPr>
        <w:spacing w:line="240" w:lineRule="auto"/>
        <w:ind w:left="0" w:hanging="2"/>
        <w:jc w:val="center"/>
        <w:rPr>
          <w:rFonts w:ascii="Arial" w:eastAsia="Arial" w:hAnsi="Arial" w:cs="Arial"/>
          <w:sz w:val="22"/>
          <w:szCs w:val="22"/>
        </w:rPr>
      </w:pPr>
    </w:p>
    <w:p w:rsidR="001333A7" w:rsidRPr="00097117" w:rsidRDefault="00CC5D42" w:rsidP="00413D98">
      <w:pPr>
        <w:spacing w:line="240" w:lineRule="auto"/>
        <w:ind w:left="0" w:hanging="2"/>
        <w:jc w:val="center"/>
        <w:rPr>
          <w:rFonts w:ascii="Arial Black" w:eastAsia="Arial" w:hAnsi="Arial Black" w:cs="Arial"/>
          <w:sz w:val="22"/>
          <w:szCs w:val="22"/>
        </w:rPr>
      </w:pPr>
      <w:r w:rsidRPr="00097117">
        <w:rPr>
          <w:rFonts w:ascii="Arial Black" w:eastAsia="Arial" w:hAnsi="Arial Black" w:cs="Arial"/>
          <w:sz w:val="22"/>
          <w:szCs w:val="22"/>
        </w:rPr>
        <w:t xml:space="preserve">Mtro. Guillermo Arturo Gómez Mata </w:t>
      </w:r>
    </w:p>
    <w:p w:rsidR="001333A7" w:rsidRPr="00413D98" w:rsidRDefault="00CC5D42" w:rsidP="00413D98">
      <w:pPr>
        <w:spacing w:line="240" w:lineRule="auto"/>
        <w:ind w:left="0" w:hanging="2"/>
        <w:jc w:val="center"/>
        <w:rPr>
          <w:rFonts w:ascii="Arial" w:eastAsia="Arial" w:hAnsi="Arial" w:cs="Arial"/>
          <w:sz w:val="22"/>
          <w:szCs w:val="22"/>
        </w:rPr>
      </w:pPr>
      <w:r w:rsidRPr="00413D98">
        <w:rPr>
          <w:rFonts w:ascii="Arial" w:eastAsia="Arial" w:hAnsi="Arial" w:cs="Arial"/>
          <w:sz w:val="22"/>
          <w:szCs w:val="22"/>
        </w:rPr>
        <w:t>Secretario de Actas y Acuerdos</w:t>
      </w:r>
    </w:p>
    <w:sectPr w:rsidR="001333A7" w:rsidRPr="00413D98" w:rsidSect="00097117">
      <w:headerReference w:type="even" r:id="rId9"/>
      <w:headerReference w:type="default" r:id="rId10"/>
      <w:footerReference w:type="even" r:id="rId11"/>
      <w:footerReference w:type="default" r:id="rId12"/>
      <w:headerReference w:type="first" r:id="rId13"/>
      <w:footerReference w:type="first" r:id="rId14"/>
      <w:pgSz w:w="12240" w:h="15840"/>
      <w:pgMar w:top="2268" w:right="1185"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D42" w:rsidRDefault="00CC5D42">
      <w:pPr>
        <w:spacing w:line="240" w:lineRule="auto"/>
        <w:ind w:left="0" w:hanging="2"/>
      </w:pPr>
      <w:r>
        <w:separator/>
      </w:r>
    </w:p>
  </w:endnote>
  <w:endnote w:type="continuationSeparator" w:id="0">
    <w:p w:rsidR="00CC5D42" w:rsidRDefault="00CC5D4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Questrial">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17" w:rsidRDefault="00097117">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3A7" w:rsidRDefault="00CC5D42">
    <w:pPr>
      <w:tabs>
        <w:tab w:val="center" w:pos="4419"/>
        <w:tab w:val="right" w:pos="8838"/>
      </w:tabs>
      <w:jc w:val="center"/>
      <w:rPr>
        <w:rFonts w:ascii="Questrial" w:eastAsia="Questrial" w:hAnsi="Questrial" w:cs="Questrial"/>
        <w:sz w:val="14"/>
        <w:szCs w:val="14"/>
      </w:rPr>
    </w:pPr>
    <w:r>
      <w:rPr>
        <w:rFonts w:ascii="Questrial" w:eastAsia="Questrial" w:hAnsi="Questrial" w:cs="Questrial"/>
        <w:sz w:val="14"/>
        <w:szCs w:val="14"/>
      </w:rPr>
      <w:t xml:space="preserve">Página </w:t>
    </w:r>
    <w:r>
      <w:rPr>
        <w:rFonts w:ascii="Questrial" w:eastAsia="Questrial" w:hAnsi="Questrial" w:cs="Questrial"/>
        <w:b/>
        <w:sz w:val="14"/>
        <w:szCs w:val="14"/>
      </w:rPr>
      <w:fldChar w:fldCharType="begin"/>
    </w:r>
    <w:r>
      <w:rPr>
        <w:rFonts w:ascii="Questrial" w:eastAsia="Questrial" w:hAnsi="Questrial" w:cs="Questrial"/>
        <w:b/>
        <w:sz w:val="14"/>
        <w:szCs w:val="14"/>
      </w:rPr>
      <w:instrText>PAGE</w:instrText>
    </w:r>
    <w:r>
      <w:rPr>
        <w:rFonts w:ascii="Questrial" w:eastAsia="Questrial" w:hAnsi="Questrial" w:cs="Questrial"/>
        <w:b/>
        <w:sz w:val="14"/>
        <w:szCs w:val="14"/>
      </w:rPr>
      <w:fldChar w:fldCharType="separate"/>
    </w:r>
    <w:r w:rsidR="00083A19">
      <w:rPr>
        <w:rFonts w:ascii="Questrial" w:eastAsia="Questrial" w:hAnsi="Questrial" w:cs="Questrial"/>
        <w:b/>
        <w:noProof/>
        <w:sz w:val="14"/>
        <w:szCs w:val="14"/>
      </w:rPr>
      <w:t>5</w:t>
    </w:r>
    <w:r>
      <w:rPr>
        <w:rFonts w:ascii="Questrial" w:eastAsia="Questrial" w:hAnsi="Questrial" w:cs="Questrial"/>
        <w:b/>
        <w:sz w:val="14"/>
        <w:szCs w:val="14"/>
      </w:rPr>
      <w:fldChar w:fldCharType="end"/>
    </w:r>
    <w:r>
      <w:rPr>
        <w:rFonts w:ascii="Questrial" w:eastAsia="Questrial" w:hAnsi="Questrial" w:cs="Questrial"/>
        <w:sz w:val="14"/>
        <w:szCs w:val="14"/>
      </w:rPr>
      <w:t xml:space="preserve"> de </w:t>
    </w:r>
    <w:r>
      <w:rPr>
        <w:rFonts w:ascii="Questrial" w:eastAsia="Questrial" w:hAnsi="Questrial" w:cs="Questrial"/>
        <w:b/>
        <w:sz w:val="14"/>
        <w:szCs w:val="14"/>
      </w:rPr>
      <w:fldChar w:fldCharType="begin"/>
    </w:r>
    <w:r>
      <w:rPr>
        <w:rFonts w:ascii="Questrial" w:eastAsia="Questrial" w:hAnsi="Questrial" w:cs="Questrial"/>
        <w:b/>
        <w:sz w:val="14"/>
        <w:szCs w:val="14"/>
      </w:rPr>
      <w:instrText>NUMPAGES</w:instrText>
    </w:r>
    <w:r>
      <w:rPr>
        <w:rFonts w:ascii="Questrial" w:eastAsia="Questrial" w:hAnsi="Questrial" w:cs="Questrial"/>
        <w:b/>
        <w:sz w:val="14"/>
        <w:szCs w:val="14"/>
      </w:rPr>
      <w:fldChar w:fldCharType="separate"/>
    </w:r>
    <w:r w:rsidR="00083A19">
      <w:rPr>
        <w:rFonts w:ascii="Questrial" w:eastAsia="Questrial" w:hAnsi="Questrial" w:cs="Questrial"/>
        <w:b/>
        <w:noProof/>
        <w:sz w:val="14"/>
        <w:szCs w:val="14"/>
      </w:rPr>
      <w:t>5</w:t>
    </w:r>
    <w:r>
      <w:rPr>
        <w:rFonts w:ascii="Questrial" w:eastAsia="Questrial" w:hAnsi="Questrial" w:cs="Questrial"/>
        <w:b/>
        <w:sz w:val="14"/>
        <w:szCs w:val="14"/>
      </w:rPr>
      <w:fldChar w:fldCharType="end"/>
    </w:r>
  </w:p>
  <w:p w:rsidR="001333A7" w:rsidRDefault="00CC5D42">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 Av. Juárez No. 976, Edificio de la Rectoría General, Piso 5, Colonia Centro C.P. 44100.</w:t>
    </w:r>
  </w:p>
  <w:p w:rsidR="000B1B0E" w:rsidRDefault="00CC5D42">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Guadalajara, Jalisco. México. Tel. [52] (33) 3134 2222, </w:t>
    </w:r>
    <w:proofErr w:type="spellStart"/>
    <w:r>
      <w:rPr>
        <w:color w:val="000000"/>
        <w:sz w:val="17"/>
        <w:szCs w:val="17"/>
      </w:rPr>
      <w:t>Exts</w:t>
    </w:r>
    <w:proofErr w:type="spellEnd"/>
    <w:r>
      <w:rPr>
        <w:color w:val="000000"/>
        <w:sz w:val="17"/>
        <w:szCs w:val="17"/>
      </w:rPr>
      <w:t xml:space="preserve">. 12428, 12243, 12420 y </w:t>
    </w:r>
    <w:proofErr w:type="gramStart"/>
    <w:r>
      <w:rPr>
        <w:color w:val="000000"/>
        <w:sz w:val="17"/>
        <w:szCs w:val="17"/>
      </w:rPr>
      <w:t>12457  Tel.</w:t>
    </w:r>
    <w:proofErr w:type="gramEnd"/>
    <w:r>
      <w:rPr>
        <w:color w:val="000000"/>
        <w:sz w:val="17"/>
        <w:szCs w:val="17"/>
      </w:rPr>
      <w:t xml:space="preserve"> </w:t>
    </w:r>
    <w:proofErr w:type="spellStart"/>
    <w:r>
      <w:rPr>
        <w:color w:val="000000"/>
        <w:sz w:val="17"/>
        <w:szCs w:val="17"/>
      </w:rPr>
      <w:t>dir.</w:t>
    </w:r>
    <w:proofErr w:type="spellEnd"/>
    <w:r>
      <w:rPr>
        <w:color w:val="000000"/>
        <w:sz w:val="17"/>
        <w:szCs w:val="17"/>
      </w:rPr>
      <w:t xml:space="preserve"> 3134 2243 </w:t>
    </w:r>
  </w:p>
  <w:p w:rsidR="001333A7" w:rsidRDefault="00CC5D42">
    <w:pPr>
      <w:pBdr>
        <w:top w:val="nil"/>
        <w:left w:val="nil"/>
        <w:bottom w:val="nil"/>
        <w:right w:val="nil"/>
        <w:between w:val="nil"/>
      </w:pBdr>
      <w:spacing w:line="276" w:lineRule="auto"/>
      <w:ind w:left="0" w:hanging="2"/>
      <w:jc w:val="center"/>
      <w:rPr>
        <w:color w:val="000000"/>
        <w:sz w:val="17"/>
        <w:szCs w:val="17"/>
      </w:rPr>
    </w:pPr>
    <w:r>
      <w:rPr>
        <w:b/>
        <w:color w:val="000000"/>
        <w:sz w:val="17"/>
        <w:szCs w:val="17"/>
      </w:rPr>
      <w:t>www.hcgu.udg.mx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17" w:rsidRDefault="00097117">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D42" w:rsidRDefault="00CC5D42">
      <w:pPr>
        <w:spacing w:line="240" w:lineRule="auto"/>
        <w:ind w:left="0" w:hanging="2"/>
      </w:pPr>
      <w:r>
        <w:separator/>
      </w:r>
    </w:p>
  </w:footnote>
  <w:footnote w:type="continuationSeparator" w:id="0">
    <w:p w:rsidR="00CC5D42" w:rsidRDefault="00CC5D4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17" w:rsidRDefault="00097117">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3A7" w:rsidRDefault="00CC5D42">
    <w:pPr>
      <w:pBdr>
        <w:top w:val="nil"/>
        <w:left w:val="nil"/>
        <w:bottom w:val="nil"/>
        <w:right w:val="nil"/>
        <w:between w:val="nil"/>
      </w:pBdr>
      <w:spacing w:line="240" w:lineRule="auto"/>
      <w:ind w:left="0" w:hanging="2"/>
      <w:rPr>
        <w:color w:val="000000"/>
      </w:rPr>
    </w:pPr>
    <w:r>
      <w:rPr>
        <w:noProof/>
        <w:lang w:val="es-MX" w:eastAsia="es-MX"/>
      </w:rPr>
      <w:drawing>
        <wp:anchor distT="0" distB="0" distL="0" distR="0" simplePos="0" relativeHeight="251658240" behindDoc="0" locked="0" layoutInCell="1" hidden="0" allowOverlap="1">
          <wp:simplePos x="0" y="0"/>
          <wp:positionH relativeFrom="column">
            <wp:posOffset>-1070607</wp:posOffset>
          </wp:positionH>
          <wp:positionV relativeFrom="paragraph">
            <wp:posOffset>-440052</wp:posOffset>
          </wp:positionV>
          <wp:extent cx="7753350" cy="161544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3350" cy="16154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17" w:rsidRDefault="00097117">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11364"/>
    <w:multiLevelType w:val="multilevel"/>
    <w:tmpl w:val="520E48BA"/>
    <w:lvl w:ilvl="0">
      <w:start w:val="1"/>
      <w:numFmt w:val="decimal"/>
      <w:lvlText w:val="%1."/>
      <w:lvlJc w:val="left"/>
      <w:pPr>
        <w:ind w:left="360" w:hanging="360"/>
      </w:pPr>
      <w:rPr>
        <w:rFonts w:ascii="Arial" w:eastAsia="Arial" w:hAnsi="Arial" w:cs="Arial"/>
        <w:b/>
        <w:strike w:val="0"/>
        <w:color w:val="000000"/>
        <w:shd w:val="clear" w:color="auto" w:fill="auto"/>
        <w:vertAlign w:val="baseline"/>
      </w:rPr>
    </w:lvl>
    <w:lvl w:ilvl="1">
      <w:start w:val="1"/>
      <w:numFmt w:val="lowerLetter"/>
      <w:lvlText w:val="%2."/>
      <w:lvlJc w:val="left"/>
      <w:pPr>
        <w:ind w:left="792" w:hanging="432"/>
      </w:pPr>
      <w:rPr>
        <w:vertAlign w:val="baseline"/>
      </w:rPr>
    </w:lvl>
    <w:lvl w:ilvl="2">
      <w:start w:val="1"/>
      <w:numFmt w:val="lowerRoman"/>
      <w:lvlText w:val="%3."/>
      <w:lvlJc w:val="right"/>
      <w:pPr>
        <w:ind w:left="1224" w:hanging="504"/>
      </w:pPr>
      <w:rPr>
        <w:vertAlign w:val="baseline"/>
      </w:rPr>
    </w:lvl>
    <w:lvl w:ilvl="3">
      <w:start w:val="1"/>
      <w:numFmt w:val="decimal"/>
      <w:lvlText w:val="%4."/>
      <w:lvlJc w:val="left"/>
      <w:pPr>
        <w:ind w:left="1728" w:hanging="647"/>
      </w:pPr>
      <w:rPr>
        <w:vertAlign w:val="baseline"/>
      </w:rPr>
    </w:lvl>
    <w:lvl w:ilvl="4">
      <w:start w:val="1"/>
      <w:numFmt w:val="lowerLetter"/>
      <w:lvlText w:val="%5."/>
      <w:lvlJc w:val="left"/>
      <w:pPr>
        <w:ind w:left="2232" w:hanging="792"/>
      </w:pPr>
      <w:rPr>
        <w:vertAlign w:val="baseline"/>
      </w:rPr>
    </w:lvl>
    <w:lvl w:ilvl="5">
      <w:start w:val="1"/>
      <w:numFmt w:val="lowerRoman"/>
      <w:lvlText w:val="%6."/>
      <w:lvlJc w:val="right"/>
      <w:pPr>
        <w:ind w:left="2736" w:hanging="934"/>
      </w:pPr>
      <w:rPr>
        <w:vertAlign w:val="baseline"/>
      </w:rPr>
    </w:lvl>
    <w:lvl w:ilvl="6">
      <w:start w:val="1"/>
      <w:numFmt w:val="decimal"/>
      <w:lvlText w:val="%7."/>
      <w:lvlJc w:val="left"/>
      <w:pPr>
        <w:ind w:left="3240" w:hanging="1080"/>
      </w:pPr>
      <w:rPr>
        <w:vertAlign w:val="baseline"/>
      </w:rPr>
    </w:lvl>
    <w:lvl w:ilvl="7">
      <w:start w:val="1"/>
      <w:numFmt w:val="lowerLetter"/>
      <w:lvlText w:val="%8."/>
      <w:lvlJc w:val="left"/>
      <w:pPr>
        <w:ind w:left="3744" w:hanging="1224"/>
      </w:pPr>
      <w:rPr>
        <w:vertAlign w:val="baseline"/>
      </w:rPr>
    </w:lvl>
    <w:lvl w:ilvl="8">
      <w:start w:val="1"/>
      <w:numFmt w:val="lowerRoman"/>
      <w:lvlText w:val="%9."/>
      <w:lvlJc w:val="right"/>
      <w:pPr>
        <w:ind w:left="4320" w:hanging="1440"/>
      </w:pPr>
      <w:rPr>
        <w:vertAlign w:val="baseline"/>
      </w:rPr>
    </w:lvl>
  </w:abstractNum>
  <w:abstractNum w:abstractNumId="1" w15:restartNumberingAfterBreak="0">
    <w:nsid w:val="622906F2"/>
    <w:multiLevelType w:val="multilevel"/>
    <w:tmpl w:val="283874F0"/>
    <w:lvl w:ilvl="0">
      <w:start w:val="1"/>
      <w:numFmt w:val="upperRoman"/>
      <w:lvlText w:val="%1."/>
      <w:lvlJc w:val="left"/>
      <w:pPr>
        <w:ind w:left="718" w:hanging="360"/>
      </w:pPr>
      <w:rPr>
        <w:rFonts w:ascii="Arial" w:eastAsia="Arial" w:hAnsi="Arial" w:cs="Arial"/>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A7"/>
    <w:rsid w:val="00083A19"/>
    <w:rsid w:val="00097117"/>
    <w:rsid w:val="000B1B0E"/>
    <w:rsid w:val="001333A7"/>
    <w:rsid w:val="001A4881"/>
    <w:rsid w:val="00326A99"/>
    <w:rsid w:val="00413D98"/>
    <w:rsid w:val="005C1094"/>
    <w:rsid w:val="00877A91"/>
    <w:rsid w:val="00A93AAA"/>
    <w:rsid w:val="00BF5063"/>
    <w:rsid w:val="00CC2C2A"/>
    <w:rsid w:val="00CC38CA"/>
    <w:rsid w:val="00CC5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1874"/>
  <w15:docId w15:val="{97B4D657-B929-4DD4-928A-38EECAF6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500E9"/>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rsid w:val="001500E9"/>
    <w:pPr>
      <w:keepNext/>
      <w:keepLines/>
      <w:spacing w:before="480" w:after="120"/>
    </w:pPr>
    <w:rPr>
      <w:b/>
      <w:sz w:val="48"/>
      <w:szCs w:val="48"/>
    </w:rPr>
  </w:style>
  <w:style w:type="paragraph" w:styleId="Ttulo2">
    <w:name w:val="heading 2"/>
    <w:basedOn w:val="Normal"/>
    <w:next w:val="Normal"/>
    <w:rsid w:val="001500E9"/>
    <w:pPr>
      <w:keepNext/>
      <w:widowControl w:val="0"/>
      <w:overflowPunct w:val="0"/>
      <w:autoSpaceDE w:val="0"/>
      <w:autoSpaceDN w:val="0"/>
      <w:adjustRightInd w:val="0"/>
      <w:jc w:val="center"/>
      <w:textAlignment w:val="baseline"/>
      <w:outlineLvl w:val="1"/>
    </w:pPr>
    <w:rPr>
      <w:rFonts w:ascii="CG Omega" w:hAnsi="CG Omega"/>
      <w:b/>
      <w:szCs w:val="20"/>
      <w:lang w:eastAsia="es-MX"/>
    </w:rPr>
  </w:style>
  <w:style w:type="paragraph" w:styleId="Ttulo3">
    <w:name w:val="heading 3"/>
    <w:basedOn w:val="Normal"/>
    <w:next w:val="Normal"/>
    <w:rsid w:val="001500E9"/>
    <w:pPr>
      <w:keepNext/>
      <w:widowControl w:val="0"/>
      <w:overflowPunct w:val="0"/>
      <w:autoSpaceDE w:val="0"/>
      <w:autoSpaceDN w:val="0"/>
      <w:adjustRightInd w:val="0"/>
      <w:textAlignment w:val="baseline"/>
      <w:outlineLvl w:val="2"/>
    </w:pPr>
    <w:rPr>
      <w:rFonts w:ascii="CG Omega" w:hAnsi="CG Omega"/>
      <w:b/>
      <w:szCs w:val="20"/>
      <w:lang w:eastAsia="es-MX"/>
    </w:rPr>
  </w:style>
  <w:style w:type="paragraph" w:styleId="Ttulo4">
    <w:name w:val="heading 4"/>
    <w:basedOn w:val="Normal"/>
    <w:next w:val="Normal"/>
    <w:rsid w:val="001500E9"/>
    <w:pPr>
      <w:keepNext/>
      <w:keepLines/>
      <w:spacing w:before="240" w:after="40"/>
      <w:outlineLvl w:val="3"/>
    </w:pPr>
    <w:rPr>
      <w:b/>
    </w:rPr>
  </w:style>
  <w:style w:type="paragraph" w:styleId="Ttulo5">
    <w:name w:val="heading 5"/>
    <w:basedOn w:val="Normal"/>
    <w:next w:val="Normal"/>
    <w:rsid w:val="001500E9"/>
    <w:pPr>
      <w:keepNext/>
      <w:keepLines/>
      <w:spacing w:before="220" w:after="40"/>
      <w:outlineLvl w:val="4"/>
    </w:pPr>
    <w:rPr>
      <w:b/>
      <w:sz w:val="22"/>
      <w:szCs w:val="22"/>
    </w:rPr>
  </w:style>
  <w:style w:type="paragraph" w:styleId="Ttulo6">
    <w:name w:val="heading 6"/>
    <w:basedOn w:val="Normal"/>
    <w:next w:val="Normal"/>
    <w:rsid w:val="001500E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1500E9"/>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1500E9"/>
    <w:tblPr>
      <w:tblCellMar>
        <w:top w:w="0" w:type="dxa"/>
        <w:left w:w="0" w:type="dxa"/>
        <w:bottom w:w="0" w:type="dxa"/>
        <w:right w:w="0" w:type="dxa"/>
      </w:tblCellMar>
    </w:tblPr>
  </w:style>
  <w:style w:type="paragraph" w:styleId="Encabezado">
    <w:name w:val="header"/>
    <w:basedOn w:val="Normal"/>
    <w:qFormat/>
    <w:rsid w:val="001500E9"/>
  </w:style>
  <w:style w:type="character" w:customStyle="1" w:styleId="EncabezadoCar">
    <w:name w:val="Encabezado Car"/>
    <w:basedOn w:val="Fuentedeprrafopredeter"/>
    <w:rsid w:val="001500E9"/>
    <w:rPr>
      <w:w w:val="100"/>
      <w:position w:val="-1"/>
      <w:effect w:val="none"/>
      <w:vertAlign w:val="baseline"/>
      <w:cs w:val="0"/>
      <w:em w:val="none"/>
    </w:rPr>
  </w:style>
  <w:style w:type="paragraph" w:styleId="Piedepgina">
    <w:name w:val="footer"/>
    <w:basedOn w:val="Normal"/>
    <w:qFormat/>
    <w:rsid w:val="001500E9"/>
  </w:style>
  <w:style w:type="character" w:customStyle="1" w:styleId="PiedepginaCar">
    <w:name w:val="Pie de página Car"/>
    <w:basedOn w:val="Fuentedeprrafopredeter"/>
    <w:rsid w:val="001500E9"/>
    <w:rPr>
      <w:w w:val="100"/>
      <w:position w:val="-1"/>
      <w:effect w:val="none"/>
      <w:vertAlign w:val="baseline"/>
      <w:cs w:val="0"/>
      <w:em w:val="none"/>
    </w:rPr>
  </w:style>
  <w:style w:type="paragraph" w:styleId="Textodeglobo">
    <w:name w:val="Balloon Text"/>
    <w:basedOn w:val="Normal"/>
    <w:qFormat/>
    <w:rsid w:val="001500E9"/>
    <w:rPr>
      <w:rFonts w:ascii="Tahoma" w:eastAsia="Calibri" w:hAnsi="Tahoma"/>
      <w:sz w:val="16"/>
      <w:szCs w:val="16"/>
    </w:rPr>
  </w:style>
  <w:style w:type="character" w:customStyle="1" w:styleId="TextodegloboCar">
    <w:name w:val="Texto de globo Car"/>
    <w:rsid w:val="001500E9"/>
    <w:rPr>
      <w:rFonts w:ascii="Tahoma" w:hAnsi="Tahoma" w:cs="Tahoma"/>
      <w:w w:val="100"/>
      <w:position w:val="-1"/>
      <w:sz w:val="16"/>
      <w:szCs w:val="16"/>
      <w:effect w:val="none"/>
      <w:vertAlign w:val="baseline"/>
      <w:cs w:val="0"/>
      <w:em w:val="none"/>
    </w:rPr>
  </w:style>
  <w:style w:type="paragraph" w:styleId="Textoindependiente">
    <w:name w:val="Body Text"/>
    <w:basedOn w:val="Normal"/>
    <w:rsid w:val="001500E9"/>
    <w:pPr>
      <w:jc w:val="both"/>
    </w:pPr>
    <w:rPr>
      <w:rFonts w:ascii="Arial" w:hAnsi="Arial"/>
      <w:b/>
      <w:bCs/>
      <w:sz w:val="30"/>
    </w:rPr>
  </w:style>
  <w:style w:type="character" w:customStyle="1" w:styleId="TextoindependienteCar">
    <w:name w:val="Texto independiente Car"/>
    <w:rsid w:val="001500E9"/>
    <w:rPr>
      <w:rFonts w:ascii="Arial" w:eastAsia="Times New Roman" w:hAnsi="Arial" w:cs="Arial"/>
      <w:b/>
      <w:bCs/>
      <w:w w:val="100"/>
      <w:position w:val="-1"/>
      <w:sz w:val="30"/>
      <w:szCs w:val="24"/>
      <w:effect w:val="none"/>
      <w:vertAlign w:val="baseline"/>
      <w:cs w:val="0"/>
      <w:em w:val="none"/>
      <w:lang w:eastAsia="es-ES"/>
    </w:rPr>
  </w:style>
  <w:style w:type="paragraph" w:styleId="Prrafodelista">
    <w:name w:val="List Paragraph"/>
    <w:basedOn w:val="Normal"/>
    <w:qFormat/>
    <w:rsid w:val="001500E9"/>
    <w:pPr>
      <w:ind w:left="708"/>
    </w:pPr>
  </w:style>
  <w:style w:type="paragraph" w:styleId="NormalWeb">
    <w:name w:val="Normal (Web)"/>
    <w:basedOn w:val="Normal"/>
    <w:qFormat/>
    <w:rsid w:val="001500E9"/>
    <w:rPr>
      <w:lang w:val="es-MX" w:eastAsia="es-MX"/>
    </w:rPr>
  </w:style>
  <w:style w:type="paragraph" w:customStyle="1" w:styleId="texto">
    <w:name w:val="texto"/>
    <w:basedOn w:val="Normal"/>
    <w:rsid w:val="001500E9"/>
    <w:pPr>
      <w:overflowPunct w:val="0"/>
      <w:autoSpaceDE w:val="0"/>
      <w:autoSpaceDN w:val="0"/>
      <w:adjustRightInd w:val="0"/>
      <w:spacing w:after="101" w:line="216" w:lineRule="atLeast"/>
      <w:ind w:firstLine="288"/>
      <w:jc w:val="both"/>
      <w:textAlignment w:val="baseline"/>
    </w:pPr>
    <w:rPr>
      <w:rFonts w:ascii="Arial" w:hAnsi="Arial"/>
      <w:sz w:val="18"/>
      <w:szCs w:val="20"/>
    </w:rPr>
  </w:style>
  <w:style w:type="character" w:customStyle="1" w:styleId="Ttulo2Car">
    <w:name w:val="Título 2 Car"/>
    <w:rsid w:val="001500E9"/>
    <w:rPr>
      <w:rFonts w:ascii="CG Omega" w:eastAsia="Times New Roman" w:hAnsi="CG Omega"/>
      <w:b/>
      <w:w w:val="100"/>
      <w:position w:val="-1"/>
      <w:sz w:val="24"/>
      <w:effect w:val="none"/>
      <w:vertAlign w:val="baseline"/>
      <w:cs w:val="0"/>
      <w:em w:val="none"/>
      <w:lang w:eastAsia="es-MX"/>
    </w:rPr>
  </w:style>
  <w:style w:type="character" w:customStyle="1" w:styleId="Ttulo3Car">
    <w:name w:val="Título 3 Car"/>
    <w:rsid w:val="001500E9"/>
    <w:rPr>
      <w:rFonts w:ascii="CG Omega" w:eastAsia="Times New Roman" w:hAnsi="CG Omega"/>
      <w:b/>
      <w:w w:val="100"/>
      <w:position w:val="-1"/>
      <w:sz w:val="24"/>
      <w:effect w:val="none"/>
      <w:vertAlign w:val="baseline"/>
      <w:cs w:val="0"/>
      <w:em w:val="none"/>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sid w:val="001500E9"/>
    <w:tblPr>
      <w:tblStyleRowBandSize w:val="1"/>
      <w:tblStyleColBandSize w:val="1"/>
    </w:tblPr>
  </w:style>
  <w:style w:type="paragraph" w:styleId="Textocomentario">
    <w:name w:val="annotation text"/>
    <w:basedOn w:val="Normal"/>
    <w:link w:val="TextocomentarioCar"/>
    <w:uiPriority w:val="99"/>
    <w:semiHidden/>
    <w:unhideWhenUsed/>
    <w:rsid w:val="001500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00E9"/>
    <w:rPr>
      <w:position w:val="-1"/>
      <w:sz w:val="20"/>
      <w:szCs w:val="20"/>
      <w:lang w:eastAsia="es-ES"/>
    </w:rPr>
  </w:style>
  <w:style w:type="character" w:styleId="Refdecomentario">
    <w:name w:val="annotation reference"/>
    <w:basedOn w:val="Fuentedeprrafopredeter"/>
    <w:uiPriority w:val="99"/>
    <w:semiHidden/>
    <w:unhideWhenUsed/>
    <w:rsid w:val="001500E9"/>
    <w:rPr>
      <w:sz w:val="16"/>
      <w:szCs w:val="16"/>
    </w:rPr>
  </w:style>
  <w:style w:type="paragraph" w:styleId="Asuntodelcomentario">
    <w:name w:val="annotation subject"/>
    <w:basedOn w:val="Textocomentario"/>
    <w:next w:val="Textocomentario"/>
    <w:link w:val="AsuntodelcomentarioCar"/>
    <w:uiPriority w:val="99"/>
    <w:semiHidden/>
    <w:unhideWhenUsed/>
    <w:rsid w:val="00093231"/>
    <w:rPr>
      <w:b/>
      <w:bCs/>
    </w:rPr>
  </w:style>
  <w:style w:type="character" w:customStyle="1" w:styleId="AsuntodelcomentarioCar">
    <w:name w:val="Asunto del comentario Car"/>
    <w:basedOn w:val="TextocomentarioCar"/>
    <w:link w:val="Asuntodelcomentario"/>
    <w:uiPriority w:val="99"/>
    <w:semiHidden/>
    <w:rsid w:val="00093231"/>
    <w:rPr>
      <w:b/>
      <w:bCs/>
      <w:position w:val="-1"/>
      <w:sz w:val="20"/>
      <w:szCs w:val="20"/>
      <w:lang w:eastAsia="es-ES"/>
    </w:r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Y7GNaCdLALprI0+nQ89K+t51A==">CgMxLjAyCGguZ2pkZ3hzOAByITFheW1KdDktUUdkTFEyTmtQRmtPZ2NHS21sZzlCckk0Qw==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85008B-F1D9-47BA-9E9F-DF38314A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1718</Words>
  <Characters>9453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8</cp:revision>
  <cp:lastPrinted>2023-07-10T17:59:00Z</cp:lastPrinted>
  <dcterms:created xsi:type="dcterms:W3CDTF">2023-07-10T17:52:00Z</dcterms:created>
  <dcterms:modified xsi:type="dcterms:W3CDTF">2023-07-10T22:11:00Z</dcterms:modified>
</cp:coreProperties>
</file>